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329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2025年度述职述德述廉述法报告</w:t>
      </w:r>
    </w:p>
    <w:p w14:paraId="10F7B16F">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省知识产权保护中心副主任 王国兵</w:t>
      </w:r>
    </w:p>
    <w:p w14:paraId="2FA2E571">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2026年3月20日</w:t>
      </w:r>
    </w:p>
    <w:p w14:paraId="38206FB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p>
    <w:p w14:paraId="13B9DFD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2025年，在省局党组的坚强领导与中心党总支的直接带领下，我始终以习近平新时代中国特色社会主义思想为指导，深入学习贯彻党的二十大和二十届历次全会精神，紧紧围绕我省“三地一区”知识产权强省建设目标，立足分管专利预审工作职责，认真履职尽责，担当实干，严守纪律规矩，较好地完成了全年各项工作任务。现将本人述职述德述廉述法情况报告如下：</w:t>
      </w:r>
    </w:p>
    <w:p w14:paraId="59E78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一、聚焦主责主业，持续推动预审工作提质增效</w:t>
      </w:r>
    </w:p>
    <w:p w14:paraId="25A73D9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2025年，我带领预审服务部以“规范管理年”建设为重要抓手，扎实推进专利预审服务强基固本三年行动计划，不断完善工作机制、强化业务能力、优化服务供给，推动各项工作落地落细、见行见效，全力促进专利预审工作高质量发展。</w:t>
      </w:r>
    </w:p>
    <w:p w14:paraId="5167E9B3">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rPr>
        <w:t>（一）预审业务</w:t>
      </w:r>
      <w:r>
        <w:rPr>
          <w:rFonts w:hint="eastAsia" w:ascii="方正楷体_GB2312" w:hAnsi="方正楷体_GB2312" w:eastAsia="方正楷体_GB2312" w:cs="方正楷体_GB2312"/>
          <w:b/>
          <w:bCs w:val="0"/>
          <w:lang w:val="en-US" w:eastAsia="zh-CN"/>
        </w:rPr>
        <w:t>稳中有进</w:t>
      </w:r>
    </w:p>
    <w:p w14:paraId="6D5042B5">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b/>
          <w:bCs w:val="0"/>
        </w:rPr>
        <w:t>1.业务总量</w:t>
      </w:r>
      <w:r>
        <w:rPr>
          <w:rFonts w:hint="eastAsia" w:ascii="仿宋_GB2312" w:hAnsi="仿宋_GB2312" w:eastAsia="仿宋_GB2312" w:cs="仿宋_GB2312"/>
          <w:b/>
          <w:bCs w:val="0"/>
          <w:lang w:val="en-US" w:eastAsia="zh-CN"/>
        </w:rPr>
        <w:t>稳步增长</w:t>
      </w:r>
      <w:r>
        <w:rPr>
          <w:rFonts w:hint="eastAsia" w:ascii="仿宋_GB2312" w:hAnsi="仿宋_GB2312" w:eastAsia="仿宋_GB2312" w:cs="仿宋_GB2312"/>
          <w:b/>
          <w:bCs w:val="0"/>
        </w:rPr>
        <w:t>。</w:t>
      </w:r>
      <w:r>
        <w:rPr>
          <w:rFonts w:hint="eastAsia" w:ascii="仿宋_GB2312" w:hAnsi="仿宋_GB2312" w:eastAsia="仿宋_GB2312" w:cs="仿宋_GB2312"/>
        </w:rPr>
        <w:t>全年共接收预审申请4640件，较2024</w:t>
      </w:r>
      <w:r>
        <w:rPr>
          <w:rFonts w:hint="eastAsia" w:ascii="仿宋_GB2312" w:hAnsi="仿宋_GB2312" w:eastAsia="仿宋_GB2312" w:cs="仿宋_GB2312"/>
          <w:lang w:eastAsia="zh-CN"/>
        </w:rPr>
        <w:t>年</w:t>
      </w:r>
      <w:r>
        <w:rPr>
          <w:rFonts w:hint="eastAsia" w:ascii="仿宋_GB2312" w:hAnsi="仿宋_GB2312" w:eastAsia="仿宋_GB2312" w:cs="仿宋_GB2312"/>
        </w:rPr>
        <w:t>增长11.7%；授权2735件，同比增长44.8%；发明、实用新型、外观设计平均授权周期分别为68天、17天、6天。备案主体达4257家，同比增长37.8%；登记代理机构达1280家，同比增长36.9%。预审业务满意度持续保持在99%以上。</w:t>
      </w:r>
    </w:p>
    <w:p w14:paraId="1A9B8D64">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bookmarkStart w:id="0" w:name="OLE_LINK3"/>
      <w:r>
        <w:rPr>
          <w:rFonts w:hint="eastAsia" w:ascii="仿宋_GB2312" w:hAnsi="仿宋_GB2312" w:eastAsia="仿宋_GB2312" w:cs="仿宋_GB2312"/>
          <w:b/>
          <w:bCs w:val="0"/>
        </w:rPr>
        <w:t>2.业务流程持续优化。</w:t>
      </w:r>
      <w:r>
        <w:rPr>
          <w:rFonts w:hint="eastAsia" w:ascii="Times New Roman" w:hAnsi="Times New Roman" w:cs="Times New Roman"/>
        </w:rPr>
        <w:t>严格</w:t>
      </w:r>
      <w:r>
        <w:rPr>
          <w:rFonts w:hint="eastAsia" w:ascii="Times New Roman" w:hAnsi="Times New Roman" w:cs="Times New Roman"/>
          <w:lang w:val="en-US" w:eastAsia="zh-CN"/>
        </w:rPr>
        <w:t>落实</w:t>
      </w:r>
      <w:r>
        <w:rPr>
          <w:rFonts w:hint="eastAsia" w:ascii="Times New Roman" w:hAnsi="Times New Roman" w:cs="Times New Roman"/>
        </w:rPr>
        <w:t>“</w:t>
      </w:r>
      <w:r>
        <w:rPr>
          <w:rFonts w:hint="eastAsia" w:ascii="Times New Roman" w:hAnsi="Times New Roman" w:cs="Times New Roman"/>
          <w:lang w:val="en-US" w:eastAsia="zh-CN"/>
        </w:rPr>
        <w:t>应备尽备</w:t>
      </w:r>
      <w:r>
        <w:rPr>
          <w:rFonts w:hint="eastAsia" w:ascii="Times New Roman" w:hAnsi="Times New Roman" w:cs="Times New Roman"/>
        </w:rPr>
        <w:t>、应收尽收”，坚决杜绝排队、抢号等现象，全力保障各类创新主体的预审申请需求。</w:t>
      </w:r>
      <w:r>
        <w:rPr>
          <w:rFonts w:hint="eastAsia" w:ascii="Times New Roman" w:hAnsi="Times New Roman" w:cs="Times New Roman"/>
          <w:lang w:val="en-US" w:eastAsia="zh-CN"/>
        </w:rPr>
        <w:t>组织</w:t>
      </w:r>
      <w:r>
        <w:rPr>
          <w:rFonts w:hint="eastAsia" w:ascii="Times New Roman" w:hAnsi="Times New Roman" w:cs="Times New Roman"/>
        </w:rPr>
        <w:t>制修订《专利预审备案主体分级分类和精准服务管理办法（试行）》《专利预审代理机构信用评价及分级管理办法（试行）》，对备案主体</w:t>
      </w:r>
      <w:r>
        <w:rPr>
          <w:rFonts w:hint="eastAsia" w:ascii="Times New Roman" w:hAnsi="Times New Roman" w:cs="Times New Roman"/>
          <w:lang w:val="en-US" w:eastAsia="zh-CN"/>
        </w:rPr>
        <w:t>实施</w:t>
      </w:r>
      <w:r>
        <w:rPr>
          <w:rFonts w:hint="eastAsia" w:ascii="Times New Roman" w:hAnsi="Times New Roman" w:cs="Times New Roman"/>
        </w:rPr>
        <w:t>分级分类管理</w:t>
      </w:r>
      <w:r>
        <w:rPr>
          <w:rFonts w:hint="eastAsia" w:ascii="Times New Roman" w:hAnsi="Times New Roman" w:cs="Times New Roman"/>
          <w:lang w:val="en-US" w:eastAsia="zh-CN"/>
        </w:rPr>
        <w:t>与</w:t>
      </w:r>
      <w:r>
        <w:rPr>
          <w:rFonts w:hint="eastAsia" w:ascii="Times New Roman" w:hAnsi="Times New Roman" w:cs="Times New Roman"/>
        </w:rPr>
        <w:t>精准服务，对代理机构实行分级管理。</w:t>
      </w:r>
      <w:bookmarkEnd w:id="0"/>
    </w:p>
    <w:p w14:paraId="343CAFF3">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r>
        <w:rPr>
          <w:rFonts w:hint="eastAsia" w:ascii="仿宋_GB2312" w:hAnsi="仿宋_GB2312" w:eastAsia="仿宋_GB2312" w:cs="仿宋_GB2312"/>
          <w:b/>
          <w:bCs w:val="0"/>
        </w:rPr>
        <w:t>3.精准服务保障试点工作有序推进。</w:t>
      </w:r>
      <w:r>
        <w:rPr>
          <w:rFonts w:hint="eastAsia" w:ascii="Times New Roman" w:hAnsi="Times New Roman" w:cs="Times New Roman"/>
        </w:rPr>
        <w:t>落实《安徽省知识产权局专利申请精准服务保障工作创新试点实施方案》要求，</w:t>
      </w:r>
      <w:r>
        <w:rPr>
          <w:rFonts w:hint="eastAsia" w:ascii="Times New Roman" w:hAnsi="Times New Roman" w:cs="Times New Roman"/>
          <w:lang w:val="en-US" w:eastAsia="zh-CN"/>
        </w:rPr>
        <w:t>通过组织</w:t>
      </w:r>
      <w:r>
        <w:rPr>
          <w:rFonts w:hint="eastAsia" w:ascii="Times New Roman" w:hAnsi="Times New Roman" w:cs="Times New Roman"/>
        </w:rPr>
        <w:t>制定试点工作推进计划</w:t>
      </w:r>
      <w:r>
        <w:rPr>
          <w:rFonts w:hint="eastAsia" w:ascii="Times New Roman" w:hAnsi="Times New Roman" w:cs="Times New Roman"/>
          <w:lang w:eastAsia="zh-CN"/>
        </w:rPr>
        <w:t>、修订制度、</w:t>
      </w:r>
      <w:r>
        <w:rPr>
          <w:rFonts w:hint="eastAsia" w:ascii="Times New Roman" w:hAnsi="Times New Roman" w:cs="Times New Roman"/>
          <w:lang w:val="en-US" w:eastAsia="zh-CN"/>
        </w:rPr>
        <w:t>宣传引导、</w:t>
      </w:r>
      <w:r>
        <w:rPr>
          <w:rFonts w:hint="eastAsia" w:ascii="Times New Roman" w:hAnsi="Times New Roman" w:cs="Times New Roman"/>
        </w:rPr>
        <w:t>召开意见征集座谈会</w:t>
      </w:r>
      <w:r>
        <w:rPr>
          <w:rFonts w:hint="eastAsia" w:ascii="Times New Roman" w:hAnsi="Times New Roman" w:cs="Times New Roman"/>
          <w:lang w:eastAsia="zh-CN"/>
        </w:rPr>
        <w:t>，</w:t>
      </w:r>
      <w:r>
        <w:rPr>
          <w:rFonts w:hint="eastAsia" w:ascii="Times New Roman" w:hAnsi="Times New Roman" w:cs="Times New Roman"/>
        </w:rPr>
        <w:t>与地市联动</w:t>
      </w:r>
      <w:r>
        <w:rPr>
          <w:rFonts w:hint="eastAsia" w:ascii="Times New Roman" w:hAnsi="Times New Roman" w:cs="Times New Roman"/>
          <w:lang w:val="en-US" w:eastAsia="zh-CN"/>
        </w:rPr>
        <w:t>持续</w:t>
      </w:r>
      <w:r>
        <w:rPr>
          <w:rFonts w:hint="eastAsia" w:ascii="Times New Roman" w:hAnsi="Times New Roman" w:cs="Times New Roman"/>
        </w:rPr>
        <w:t>完善精准服务备案主体名单，推动本地代理机构进入精准服务保障名单，</w:t>
      </w:r>
      <w:r>
        <w:rPr>
          <w:rFonts w:hint="eastAsia" w:ascii="Times New Roman" w:hAnsi="Times New Roman" w:cs="Times New Roman"/>
          <w:lang w:val="en-US" w:eastAsia="zh-CN"/>
        </w:rPr>
        <w:t>较为平稳地推进试点工作开展，未引发较大舆情。</w:t>
      </w:r>
    </w:p>
    <w:p w14:paraId="3B054AE7">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rPr>
      </w:pPr>
      <w:r>
        <w:rPr>
          <w:rFonts w:hint="eastAsia" w:ascii="方正楷体_GB2312" w:hAnsi="方正楷体_GB2312" w:eastAsia="方正楷体_GB2312" w:cs="方正楷体_GB2312"/>
          <w:b/>
          <w:bCs w:val="0"/>
        </w:rPr>
        <w:t>（二）预审质量管理</w:t>
      </w:r>
      <w:r>
        <w:rPr>
          <w:rFonts w:hint="eastAsia" w:ascii="方正楷体_GB2312" w:hAnsi="方正楷体_GB2312" w:eastAsia="方正楷体_GB2312" w:cs="方正楷体_GB2312"/>
          <w:b/>
          <w:bCs w:val="0"/>
          <w:lang w:val="en-US" w:eastAsia="zh-CN"/>
        </w:rPr>
        <w:t>持续完善</w:t>
      </w:r>
    </w:p>
    <w:p w14:paraId="61BD1950">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r>
        <w:rPr>
          <w:rFonts w:hint="eastAsia" w:ascii="仿宋_GB2312" w:hAnsi="仿宋_GB2312" w:eastAsia="仿宋_GB2312" w:cs="仿宋_GB2312"/>
          <w:b/>
          <w:bCs w:val="0"/>
        </w:rPr>
        <w:t>1.健全预审质量管理体系。</w:t>
      </w:r>
      <w:r>
        <w:rPr>
          <w:rFonts w:hint="eastAsia" w:ascii="Times New Roman" w:hAnsi="Times New Roman" w:cs="Times New Roman"/>
          <w:lang w:val="en-US" w:eastAsia="zh-CN"/>
        </w:rPr>
        <w:t>组织</w:t>
      </w:r>
      <w:r>
        <w:rPr>
          <w:rFonts w:hint="eastAsia" w:ascii="Times New Roman" w:hAnsi="Times New Roman" w:cs="Times New Roman"/>
        </w:rPr>
        <w:t>完善《专利预审质量管理体系》</w:t>
      </w:r>
      <w:r>
        <w:rPr>
          <w:rFonts w:hint="eastAsia" w:ascii="Times New Roman" w:hAnsi="Times New Roman" w:cs="Times New Roman"/>
          <w:lang w:eastAsia="zh-CN"/>
        </w:rPr>
        <w:t>，</w:t>
      </w:r>
      <w:r>
        <w:rPr>
          <w:rFonts w:hint="eastAsia" w:ascii="Times New Roman" w:hAnsi="Times New Roman" w:cs="Times New Roman"/>
        </w:rPr>
        <w:t>修订《专利预审备案主体和代理机构管理办法》</w:t>
      </w:r>
      <w:r>
        <w:rPr>
          <w:rFonts w:hint="eastAsia" w:ascii="Times New Roman" w:hAnsi="Times New Roman" w:cs="Times New Roman"/>
          <w:lang w:eastAsia="zh-CN"/>
        </w:rPr>
        <w:t>，</w:t>
      </w:r>
      <w:r>
        <w:rPr>
          <w:rFonts w:hint="eastAsia" w:ascii="Times New Roman" w:hAnsi="Times New Roman" w:cs="Times New Roman"/>
        </w:rPr>
        <w:t>持续规范专利预审申请行为，加强预审质量源头管理</w:t>
      </w:r>
      <w:r>
        <w:rPr>
          <w:rFonts w:hint="eastAsia" w:ascii="Times New Roman" w:hAnsi="Times New Roman" w:cs="Times New Roman"/>
          <w:lang w:eastAsia="zh-CN"/>
        </w:rPr>
        <w:t>，</w:t>
      </w:r>
      <w:r>
        <w:rPr>
          <w:rFonts w:hint="eastAsia" w:ascii="Times New Roman" w:hAnsi="Times New Roman" w:cs="Times New Roman"/>
        </w:rPr>
        <w:t>提升专利申请质量。</w:t>
      </w:r>
      <w:r>
        <w:rPr>
          <w:rFonts w:hint="eastAsia" w:ascii="Times New Roman" w:hAnsi="Times New Roman" w:cs="Times New Roman"/>
          <w:lang w:val="en-US" w:eastAsia="zh-CN"/>
        </w:rPr>
        <w:t>每月</w:t>
      </w:r>
      <w:r>
        <w:rPr>
          <w:rFonts w:hint="eastAsia" w:ascii="Times New Roman" w:hAnsi="Times New Roman" w:cs="Times New Roman"/>
        </w:rPr>
        <w:t>定期</w:t>
      </w:r>
      <w:r>
        <w:rPr>
          <w:rFonts w:hint="eastAsia" w:ascii="Times New Roman" w:hAnsi="Times New Roman" w:cs="Times New Roman"/>
          <w:lang w:val="en-US" w:eastAsia="zh-CN"/>
        </w:rPr>
        <w:t>组织召开预审质量分析会，组</w:t>
      </w:r>
      <w:r>
        <w:rPr>
          <w:rFonts w:hint="eastAsia" w:ascii="仿宋_GB2312" w:hAnsi="仿宋_GB2312" w:eastAsia="仿宋_GB2312" w:cs="仿宋_GB2312"/>
          <w:lang w:val="en-US" w:eastAsia="zh-CN"/>
        </w:rPr>
        <w:t>织</w:t>
      </w:r>
      <w:r>
        <w:rPr>
          <w:rFonts w:hint="eastAsia" w:ascii="仿宋_GB2312" w:hAnsi="仿宋_GB2312" w:eastAsia="仿宋_GB2312" w:cs="仿宋_GB2312"/>
        </w:rPr>
        <w:t>编制</w:t>
      </w:r>
      <w:r>
        <w:rPr>
          <w:rFonts w:hint="eastAsia" w:ascii="仿宋_GB2312" w:hAnsi="仿宋_GB2312" w:eastAsia="仿宋_GB2312" w:cs="仿宋_GB2312"/>
          <w:lang w:val="en-US" w:eastAsia="zh-CN"/>
        </w:rPr>
        <w:t>2期</w:t>
      </w:r>
      <w:r>
        <w:rPr>
          <w:rFonts w:hint="eastAsia" w:ascii="Times New Roman" w:hAnsi="Times New Roman" w:cs="Times New Roman"/>
        </w:rPr>
        <w:t>《专利预审分析报告》。</w:t>
      </w:r>
    </w:p>
    <w:p w14:paraId="469F69C6">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r>
        <w:rPr>
          <w:rFonts w:hint="eastAsia" w:ascii="仿宋_GB2312" w:hAnsi="仿宋_GB2312" w:eastAsia="仿宋_GB2312" w:cs="仿宋_GB2312"/>
          <w:b/>
          <w:bCs w:val="0"/>
        </w:rPr>
        <w:t>2.规范备案主体和代理机构管理。</w:t>
      </w:r>
      <w:r>
        <w:rPr>
          <w:rFonts w:hint="eastAsia" w:ascii="Times New Roman" w:hAnsi="Times New Roman" w:cs="Times New Roman"/>
          <w:highlight w:val="none"/>
          <w:lang w:val="en-US" w:eastAsia="zh-CN"/>
        </w:rPr>
        <w:t>开展</w:t>
      </w:r>
      <w:r>
        <w:rPr>
          <w:rFonts w:hint="eastAsia" w:ascii="Times New Roman" w:hAnsi="Times New Roman" w:cs="Times New Roman"/>
          <w:highlight w:val="none"/>
        </w:rPr>
        <w:t>“</w:t>
      </w:r>
      <w:r>
        <w:rPr>
          <w:rFonts w:hint="eastAsia" w:ascii="仿宋_GB2312" w:hAnsi="仿宋_GB2312" w:eastAsia="仿宋_GB2312" w:cs="仿宋_GB2312"/>
          <w:highlight w:val="none"/>
        </w:rPr>
        <w:t>规范管理年”活动，落实省局“守护知识产权”暨打击不以保护创新为目</w:t>
      </w:r>
      <w:r>
        <w:rPr>
          <w:rFonts w:hint="eastAsia" w:ascii="仿宋_GB2312" w:hAnsi="仿宋_GB2312" w:eastAsia="仿宋_GB2312" w:cs="仿宋_GB2312"/>
        </w:rPr>
        <w:t>的的非正常专利申请专项行动，开展备案主体信息复核及无真实研发能力的“皮包公司”“空壳公司”排查，</w:t>
      </w:r>
      <w:bookmarkStart w:id="1" w:name="OLE_LINK2"/>
      <w:r>
        <w:rPr>
          <w:rFonts w:hint="eastAsia" w:ascii="仿宋_GB2312" w:hAnsi="仿宋_GB2312" w:eastAsia="仿宋_GB2312" w:cs="仿宋_GB2312"/>
        </w:rPr>
        <w:t>对22家备案主体、109家代理机构采取主动管理措施</w:t>
      </w:r>
      <w:bookmarkEnd w:id="1"/>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组织完成</w:t>
      </w:r>
      <w:r>
        <w:rPr>
          <w:rFonts w:hint="eastAsia" w:ascii="仿宋_GB2312" w:hAnsi="仿宋_GB2312" w:eastAsia="仿宋_GB2312" w:cs="仿宋_GB2312"/>
        </w:rPr>
        <w:t>2024年度代</w:t>
      </w:r>
      <w:r>
        <w:rPr>
          <w:rFonts w:hint="eastAsia" w:ascii="Times New Roman" w:hAnsi="Times New Roman" w:cs="Times New Roman"/>
        </w:rPr>
        <w:t>理机构信用评价及分级</w:t>
      </w:r>
      <w:r>
        <w:rPr>
          <w:rFonts w:hint="eastAsia" w:ascii="Times New Roman" w:hAnsi="Times New Roman" w:cs="Times New Roman"/>
          <w:lang w:val="en-US" w:eastAsia="zh-CN"/>
        </w:rPr>
        <w:t>工作</w:t>
      </w:r>
      <w:r>
        <w:rPr>
          <w:rFonts w:hint="eastAsia" w:ascii="Times New Roman" w:hAnsi="Times New Roman" w:cs="Times New Roman"/>
        </w:rPr>
        <w:t>。</w:t>
      </w:r>
    </w:p>
    <w:p w14:paraId="58828D1B">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rPr>
      </w:pPr>
      <w:r>
        <w:rPr>
          <w:rFonts w:hint="eastAsia" w:ascii="方正楷体_GB2312" w:hAnsi="方正楷体_GB2312" w:eastAsia="方正楷体_GB2312" w:cs="方正楷体_GB2312"/>
          <w:b/>
          <w:bCs w:val="0"/>
        </w:rPr>
        <w:t>（三）预审能力</w:t>
      </w:r>
      <w:r>
        <w:rPr>
          <w:rFonts w:hint="eastAsia" w:ascii="方正楷体_GB2312" w:hAnsi="方正楷体_GB2312" w:eastAsia="方正楷体_GB2312" w:cs="方正楷体_GB2312"/>
          <w:b/>
          <w:bCs w:val="0"/>
          <w:lang w:val="en-US" w:eastAsia="zh-CN"/>
        </w:rPr>
        <w:t>逐步增强</w:t>
      </w:r>
    </w:p>
    <w:p w14:paraId="06781FE2">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b/>
          <w:bCs w:val="0"/>
        </w:rPr>
        <w:t>1.</w:t>
      </w:r>
      <w:r>
        <w:rPr>
          <w:rFonts w:hint="eastAsia" w:ascii="仿宋_GB2312" w:hAnsi="仿宋_GB2312" w:eastAsia="仿宋_GB2312" w:cs="仿宋_GB2312"/>
          <w:b/>
          <w:bCs w:val="0"/>
          <w:lang w:val="en-US" w:eastAsia="zh-CN"/>
        </w:rPr>
        <w:t>拓展</w:t>
      </w:r>
      <w:r>
        <w:rPr>
          <w:rFonts w:hint="eastAsia" w:ascii="仿宋_GB2312" w:hAnsi="仿宋_GB2312" w:eastAsia="仿宋_GB2312" w:cs="仿宋_GB2312"/>
          <w:b/>
          <w:bCs w:val="0"/>
        </w:rPr>
        <w:t>预审服务分类号。</w:t>
      </w:r>
      <w:r>
        <w:rPr>
          <w:rFonts w:hint="eastAsia" w:ascii="Times New Roman" w:hAnsi="Times New Roman" w:cs="Times New Roman"/>
          <w:lang w:val="en-US" w:eastAsia="zh-CN"/>
        </w:rPr>
        <w:t>组</w:t>
      </w:r>
      <w:r>
        <w:rPr>
          <w:rFonts w:hint="eastAsia" w:ascii="仿宋_GB2312" w:hAnsi="仿宋_GB2312" w:eastAsia="仿宋_GB2312" w:cs="仿宋_GB2312"/>
          <w:lang w:val="en-US" w:eastAsia="zh-CN"/>
        </w:rPr>
        <w:t>织</w:t>
      </w:r>
      <w:r>
        <w:rPr>
          <w:rFonts w:hint="eastAsia" w:ascii="仿宋_GB2312" w:hAnsi="仿宋_GB2312" w:eastAsia="仿宋_GB2312" w:cs="仿宋_GB2312"/>
        </w:rPr>
        <w:t>申请拓展专利预审分类号</w:t>
      </w:r>
      <w:r>
        <w:rPr>
          <w:rFonts w:hint="eastAsia" w:ascii="仿宋_GB2312" w:hAnsi="仿宋_GB2312" w:eastAsia="仿宋_GB2312" w:cs="仿宋_GB2312"/>
          <w:lang w:eastAsia="zh-CN"/>
        </w:rPr>
        <w:t>，</w:t>
      </w:r>
      <w:r>
        <w:rPr>
          <w:rFonts w:hint="eastAsia" w:ascii="仿宋_GB2312" w:hAnsi="仿宋_GB2312" w:eastAsia="仿宋_GB2312" w:cs="仿宋_GB2312"/>
        </w:rPr>
        <w:t>2025年12月31日经国知局批复，新增IPC分类号24个，洛迦诺分类号11个。</w:t>
      </w:r>
    </w:p>
    <w:p w14:paraId="7E56841E">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r>
        <w:rPr>
          <w:rFonts w:hint="eastAsia" w:ascii="仿宋_GB2312" w:hAnsi="仿宋_GB2312" w:eastAsia="仿宋_GB2312" w:cs="仿宋_GB2312"/>
          <w:b/>
          <w:bCs w:val="0"/>
        </w:rPr>
        <w:t>2.</w:t>
      </w:r>
      <w:r>
        <w:rPr>
          <w:rFonts w:hint="eastAsia" w:ascii="仿宋_GB2312" w:hAnsi="仿宋_GB2312" w:eastAsia="仿宋_GB2312" w:cs="仿宋_GB2312"/>
          <w:b/>
          <w:bCs w:val="0"/>
          <w:lang w:val="en-US" w:eastAsia="zh-CN"/>
        </w:rPr>
        <w:t>新增</w:t>
      </w:r>
      <w:r>
        <w:rPr>
          <w:rFonts w:hint="eastAsia" w:ascii="仿宋_GB2312" w:hAnsi="仿宋_GB2312" w:eastAsia="仿宋_GB2312" w:cs="仿宋_GB2312"/>
          <w:b/>
          <w:bCs w:val="0"/>
        </w:rPr>
        <w:t>复审无效案件多模式审理</w:t>
      </w:r>
      <w:r>
        <w:rPr>
          <w:rFonts w:hint="eastAsia" w:ascii="仿宋_GB2312" w:hAnsi="仿宋_GB2312" w:eastAsia="仿宋_GB2312" w:cs="仿宋_GB2312"/>
          <w:b/>
          <w:bCs w:val="0"/>
          <w:lang w:val="en-US" w:eastAsia="zh-CN"/>
        </w:rPr>
        <w:t>职能</w:t>
      </w:r>
      <w:r>
        <w:rPr>
          <w:rFonts w:hint="eastAsia" w:ascii="仿宋_GB2312" w:hAnsi="仿宋_GB2312" w:eastAsia="仿宋_GB2312" w:cs="仿宋_GB2312"/>
          <w:b/>
          <w:bCs w:val="0"/>
        </w:rPr>
        <w:t>。</w:t>
      </w:r>
      <w:r>
        <w:rPr>
          <w:rFonts w:hint="eastAsia" w:ascii="Times New Roman" w:hAnsi="Times New Roman" w:cs="Times New Roman"/>
          <w:lang w:val="en-US" w:eastAsia="zh-CN"/>
        </w:rPr>
        <w:t>组织</w:t>
      </w:r>
      <w:r>
        <w:rPr>
          <w:rFonts w:hint="eastAsia" w:ascii="Times New Roman" w:hAnsi="Times New Roman" w:cs="Times New Roman"/>
        </w:rPr>
        <w:t>申报专利复审无效案件多模式审理工作</w:t>
      </w:r>
      <w:r>
        <w:rPr>
          <w:rFonts w:hint="eastAsia" w:ascii="仿宋_GB2312" w:hAnsi="仿宋_GB2312" w:eastAsia="仿宋_GB2312" w:cs="仿宋_GB2312"/>
        </w:rPr>
        <w:t>；2025年11月11日</w:t>
      </w:r>
      <w:r>
        <w:rPr>
          <w:rFonts w:hint="eastAsia" w:ascii="Times New Roman" w:hAnsi="Times New Roman" w:cs="Times New Roman"/>
          <w:lang w:val="en-US" w:eastAsia="zh-CN"/>
        </w:rPr>
        <w:t>经国知局批复，</w:t>
      </w:r>
      <w:r>
        <w:rPr>
          <w:rFonts w:hint="eastAsia" w:ascii="Times New Roman" w:hAnsi="Times New Roman" w:cs="Times New Roman"/>
        </w:rPr>
        <w:t>我中心成功获批开展无效案件远程视频审理、巡回审理、确权侵权联合审理等多模式口头审理工作，开通复审无效案件快保优先审查推荐通道。</w:t>
      </w:r>
    </w:p>
    <w:p w14:paraId="2C4916B0">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rPr>
      </w:pPr>
      <w:r>
        <w:rPr>
          <w:rFonts w:hint="eastAsia" w:ascii="方正楷体_GB2312" w:hAnsi="方正楷体_GB2312" w:eastAsia="方正楷体_GB2312" w:cs="方正楷体_GB2312"/>
          <w:b/>
          <w:bCs w:val="0"/>
        </w:rPr>
        <w:t>（四）预审服务效能显著</w:t>
      </w:r>
    </w:p>
    <w:p w14:paraId="1ACD66FC">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r>
        <w:rPr>
          <w:rFonts w:hint="eastAsia" w:ascii="仿宋_GB2312" w:hAnsi="仿宋_GB2312" w:eastAsia="仿宋_GB2312" w:cs="仿宋_GB2312"/>
          <w:b/>
          <w:bCs w:val="0"/>
        </w:rPr>
        <w:t>1.组织实施专利预审服务直通车活动。</w:t>
      </w:r>
      <w:r>
        <w:rPr>
          <w:rFonts w:hint="eastAsia" w:ascii="Times New Roman" w:hAnsi="Times New Roman" w:cs="Times New Roman"/>
        </w:rPr>
        <w:t>聚焦创新主体、科技团队发展中面临的知识产权保护问题，创新开展专利预审服务直通车活动，</w:t>
      </w:r>
      <w:r>
        <w:rPr>
          <w:rFonts w:hint="eastAsia" w:ascii="Times New Roman" w:hAnsi="Times New Roman" w:cs="Times New Roman"/>
          <w:lang w:val="en-US" w:eastAsia="zh-CN"/>
        </w:rPr>
        <w:t>并</w:t>
      </w:r>
      <w:r>
        <w:rPr>
          <w:rFonts w:hint="eastAsia" w:ascii="Times New Roman" w:hAnsi="Times New Roman" w:cs="Times New Roman"/>
        </w:rPr>
        <w:t>公布第一</w:t>
      </w:r>
      <w:r>
        <w:rPr>
          <w:rFonts w:hint="eastAsia" w:ascii="仿宋_GB2312" w:hAnsi="仿宋_GB2312" w:eastAsia="仿宋_GB2312" w:cs="仿宋_GB2312"/>
        </w:rPr>
        <w:t>批入选名单26家，组建</w:t>
      </w:r>
      <w:r>
        <w:rPr>
          <w:rFonts w:hint="eastAsia" w:ascii="Times New Roman" w:hAnsi="Times New Roman" w:cs="Times New Roman"/>
        </w:rPr>
        <w:t>服务组按计划开展服务，进一步强化对国家重大科技基础设施（大科学装置）、高水平研究型大学、科技领军企业、院士团队等国家战略科技力量及省级战略科技力量的精准服务保障</w:t>
      </w:r>
      <w:r>
        <w:rPr>
          <w:rFonts w:hint="eastAsia" w:ascii="Times New Roman" w:hAnsi="Times New Roman" w:cs="Times New Roman"/>
          <w:lang w:eastAsia="zh-CN"/>
        </w:rPr>
        <w:t>，</w:t>
      </w:r>
      <w:r>
        <w:rPr>
          <w:rFonts w:hint="eastAsia" w:ascii="Times New Roman" w:hAnsi="Times New Roman" w:cs="Times New Roman"/>
        </w:rPr>
        <w:t>相关工作获中国知识产权报、中国质量报、</w:t>
      </w:r>
      <w:r>
        <w:rPr>
          <w:rFonts w:ascii="Times New Roman" w:hAnsi="Times New Roman" w:cs="Times New Roman"/>
        </w:rPr>
        <w:t>中国保护知识产权网</w:t>
      </w:r>
      <w:r>
        <w:rPr>
          <w:rFonts w:hint="eastAsia" w:ascii="Times New Roman" w:hAnsi="Times New Roman" w:cs="Times New Roman"/>
        </w:rPr>
        <w:t>等媒体报道。</w:t>
      </w:r>
    </w:p>
    <w:p w14:paraId="760DA5ED">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cs="Times New Roman"/>
        </w:rPr>
      </w:pPr>
      <w:r>
        <w:rPr>
          <w:rFonts w:hint="eastAsia" w:ascii="仿宋_GB2312" w:hAnsi="仿宋_GB2312" w:eastAsia="仿宋_GB2312" w:cs="仿宋_GB2312"/>
          <w:b/>
          <w:bCs w:val="0"/>
        </w:rPr>
        <w:t>2.探索建立预审典型案例工作新模式。</w:t>
      </w:r>
      <w:r>
        <w:rPr>
          <w:rFonts w:hint="eastAsia" w:ascii="Times New Roman" w:hAnsi="Times New Roman" w:cs="Times New Roman"/>
        </w:rPr>
        <w:t>面向创新主体开展两批次预审授权专利调查，从技术价值、经济价值、社会价值等维度分析评价</w:t>
      </w:r>
      <w:r>
        <w:rPr>
          <w:rFonts w:hint="eastAsia" w:ascii="Times New Roman" w:hAnsi="Times New Roman" w:cs="Times New Roman"/>
          <w:lang w:val="en-US" w:eastAsia="zh-CN"/>
        </w:rPr>
        <w:t>其</w:t>
      </w:r>
      <w:r>
        <w:rPr>
          <w:rFonts w:hint="eastAsia" w:ascii="Times New Roman" w:hAnsi="Times New Roman" w:cs="Times New Roman"/>
        </w:rPr>
        <w:t>转化运用情况。通过间接遴选、直接征集和主动发掘等方式，遴选出技术先进、转化运用</w:t>
      </w:r>
      <w:r>
        <w:rPr>
          <w:rFonts w:hint="eastAsia" w:ascii="仿宋_GB2312" w:hAnsi="仿宋_GB2312" w:eastAsia="仿宋_GB2312" w:cs="仿宋_GB2312"/>
        </w:rPr>
        <w:t>好、产生了积极的经济社会效益的预审授权专利，全年通过网站、微信公众号累计对外发布专利预审典型案例39期，总阅读量超过27000人次</w:t>
      </w:r>
      <w:r>
        <w:rPr>
          <w:rFonts w:hint="eastAsia" w:ascii="Times New Roman" w:hAnsi="Times New Roman" w:cs="Times New Roman"/>
        </w:rPr>
        <w:t>，</w:t>
      </w:r>
      <w:r>
        <w:rPr>
          <w:rFonts w:ascii="Times New Roman" w:hAnsi="Times New Roman" w:cs="Times New Roman"/>
        </w:rPr>
        <w:t>被相关企业、地方知识产权管理部门、知识产权协会及多家新闻</w:t>
      </w:r>
      <w:r>
        <w:rPr>
          <w:rFonts w:hint="eastAsia" w:ascii="Times New Roman" w:hAnsi="Times New Roman" w:cs="Times New Roman"/>
        </w:rPr>
        <w:t>媒体</w:t>
      </w:r>
      <w:r>
        <w:rPr>
          <w:rFonts w:ascii="Times New Roman" w:hAnsi="Times New Roman" w:cs="Times New Roman"/>
        </w:rPr>
        <w:t>平台转发</w:t>
      </w:r>
      <w:r>
        <w:rPr>
          <w:rFonts w:hint="eastAsia" w:ascii="Times New Roman" w:hAnsi="Times New Roman" w:cs="Times New Roman"/>
        </w:rPr>
        <w:t>报道，</w:t>
      </w:r>
      <w:r>
        <w:rPr>
          <w:rFonts w:hint="eastAsia" w:ascii="Times New Roman" w:hAnsi="Times New Roman" w:cs="Times New Roman"/>
          <w:lang w:val="en-US" w:eastAsia="zh-CN"/>
        </w:rPr>
        <w:t>引发</w:t>
      </w:r>
      <w:r>
        <w:rPr>
          <w:rFonts w:hint="eastAsia" w:ascii="Times New Roman" w:hAnsi="Times New Roman" w:cs="Times New Roman"/>
        </w:rPr>
        <w:t>社会各界广泛关注。相关工作</w:t>
      </w:r>
      <w:r>
        <w:rPr>
          <w:rFonts w:ascii="Times New Roman" w:hAnsi="Times New Roman" w:cs="Times New Roman"/>
        </w:rPr>
        <w:t>入选知识产权强国建设第四批典型案例</w:t>
      </w:r>
      <w:r>
        <w:rPr>
          <w:rFonts w:hint="eastAsia" w:ascii="Times New Roman" w:hAnsi="Times New Roman" w:cs="Times New Roman"/>
        </w:rPr>
        <w:t>。</w:t>
      </w:r>
    </w:p>
    <w:p w14:paraId="0C25D02D">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s="Times New Roman"/>
        </w:rPr>
      </w:pPr>
      <w:r>
        <w:rPr>
          <w:rFonts w:hint="eastAsia" w:ascii="仿宋_GB2312" w:hAnsi="仿宋_GB2312" w:eastAsia="仿宋_GB2312" w:cs="仿宋_GB2312"/>
          <w:b/>
          <w:bCs w:val="0"/>
        </w:rPr>
        <w:t>3.</w:t>
      </w:r>
      <w:r>
        <w:rPr>
          <w:rFonts w:hint="eastAsia" w:ascii="仿宋_GB2312" w:hAnsi="仿宋_GB2312" w:eastAsia="仿宋_GB2312" w:cs="仿宋_GB2312"/>
          <w:b/>
          <w:bCs w:val="0"/>
          <w:lang w:val="en-US" w:eastAsia="zh-CN"/>
        </w:rPr>
        <w:t>推进专利预审精准服务。</w:t>
      </w:r>
      <w:r>
        <w:rPr>
          <w:rFonts w:hint="eastAsia" w:ascii="Times New Roman" w:hAnsi="Times New Roman" w:cs="Times New Roman"/>
          <w:lang w:val="en-US" w:eastAsia="zh-CN"/>
        </w:rPr>
        <w:t>持续</w:t>
      </w:r>
      <w:r>
        <w:rPr>
          <w:rFonts w:hint="eastAsia" w:ascii="仿宋_GB2312" w:hAnsi="仿宋_GB2312" w:eastAsia="仿宋_GB2312" w:cs="仿宋_GB2312"/>
          <w:lang w:val="en-US" w:eastAsia="zh-CN"/>
        </w:rPr>
        <w:t>深入开展</w:t>
      </w:r>
      <w:r>
        <w:rPr>
          <w:rFonts w:hint="eastAsia" w:ascii="仿宋_GB2312" w:hAnsi="仿宋_GB2312" w:eastAsia="仿宋_GB2312" w:cs="仿宋_GB2312"/>
        </w:rPr>
        <w:t>“一企一策”上门服务和“点餐式”培训服务</w:t>
      </w:r>
      <w:r>
        <w:rPr>
          <w:rFonts w:hint="eastAsia" w:ascii="仿宋_GB2312" w:hAnsi="仿宋_GB2312" w:eastAsia="仿宋_GB2312" w:cs="仿宋_GB2312"/>
          <w:lang w:eastAsia="zh-CN"/>
        </w:rPr>
        <w:t>，</w:t>
      </w:r>
      <w:r>
        <w:rPr>
          <w:rFonts w:hint="eastAsia" w:ascii="仿宋_GB2312" w:hAnsi="仿宋_GB2312" w:eastAsia="仿宋_GB2312" w:cs="仿宋_GB2312"/>
        </w:rPr>
        <w:t>累计为58家重点企业提供“一企一策”上门服务</w:t>
      </w:r>
      <w:r>
        <w:rPr>
          <w:rFonts w:hint="eastAsia" w:ascii="仿宋_GB2312" w:hAnsi="仿宋_GB2312" w:eastAsia="仿宋_GB2312" w:cs="仿宋_GB2312"/>
          <w:lang w:val="en-US" w:eastAsia="zh-CN"/>
        </w:rPr>
        <w:t>及</w:t>
      </w:r>
      <w:r>
        <w:rPr>
          <w:rFonts w:hint="eastAsia" w:ascii="仿宋_GB2312" w:hAnsi="仿宋_GB2312" w:eastAsia="仿宋_GB2312" w:cs="仿宋_GB2312"/>
        </w:rPr>
        <w:t>针对性指导</w:t>
      </w:r>
      <w:r>
        <w:rPr>
          <w:rFonts w:hint="eastAsia" w:ascii="仿宋_GB2312" w:hAnsi="仿宋_GB2312" w:eastAsia="仿宋_GB2312" w:cs="仿宋_GB2312"/>
          <w:lang w:eastAsia="zh-CN"/>
        </w:rPr>
        <w:t>；</w:t>
      </w:r>
      <w:r>
        <w:rPr>
          <w:rFonts w:hint="eastAsia" w:ascii="仿宋_GB2312" w:hAnsi="仿宋_GB2312" w:eastAsia="仿宋_GB2312" w:cs="仿宋_GB2312"/>
        </w:rPr>
        <w:t>开展专利预审业务宣贯及专利知识培训24场，培训</w:t>
      </w:r>
      <w:r>
        <w:rPr>
          <w:rFonts w:hint="eastAsia" w:ascii="仿宋_GB2312" w:hAnsi="仿宋_GB2312" w:eastAsia="仿宋_GB2312" w:cs="仿宋_GB2312"/>
          <w:lang w:val="en-US" w:eastAsia="zh-CN"/>
        </w:rPr>
        <w:t>人数</w:t>
      </w:r>
      <w:r>
        <w:rPr>
          <w:rFonts w:hint="eastAsia" w:ascii="仿宋_GB2312" w:hAnsi="仿宋_GB2312" w:eastAsia="仿宋_GB2312" w:cs="仿宋_GB2312"/>
        </w:rPr>
        <w:t>超1200人次</w:t>
      </w:r>
      <w:r>
        <w:rPr>
          <w:rFonts w:hint="eastAsia" w:ascii="Times New Roman" w:hAnsi="Times New Roman" w:cs="Times New Roman"/>
        </w:rPr>
        <w:t>。</w:t>
      </w:r>
    </w:p>
    <w:p w14:paraId="2FC1B1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二、强化理论武装，提升政治站位</w:t>
      </w:r>
    </w:p>
    <w:p w14:paraId="5A5402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始终将政治建设摆在首位，坚持以党的创新理论武装头脑、指导实践、推动工作。</w:t>
      </w:r>
    </w:p>
    <w:p w14:paraId="31FF2943">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lang w:val="en-US" w:eastAsia="zh-CN"/>
        </w:rPr>
        <w:t>（一）坚定理想信念</w:t>
      </w:r>
    </w:p>
    <w:p w14:paraId="4B6ADD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ascii="仿宋_GB2312" w:hAnsi="仿宋_GB2312" w:eastAsia="仿宋_GB2312" w:cs="仿宋_GB2312"/>
          <w:sz w:val="32"/>
          <w:szCs w:val="32"/>
          <w:lang w:val="en-US" w:eastAsia="zh-CN"/>
        </w:rPr>
      </w:pPr>
      <w:r>
        <w:rPr>
          <w:rFonts w:hint="eastAsia" w:ascii="仿宋_GB2312" w:hAnsi="仿宋_GB2312" w:eastAsia="仿宋_GB2312" w:cs="仿宋_GB2312"/>
          <w:color w:val="auto"/>
          <w:kern w:val="2"/>
          <w:sz w:val="32"/>
          <w:szCs w:val="32"/>
          <w:lang w:val="en-US" w:eastAsia="zh-CN" w:bidi="ar-SA"/>
        </w:rPr>
        <w:t>全年积极参与中心党总支理论学习。作为第二支部书记，带领支部</w:t>
      </w:r>
      <w:r>
        <w:rPr>
          <w:rFonts w:hint="eastAsia" w:ascii="仿宋_GB2312" w:hAnsi="仿宋_GB2312" w:eastAsia="仿宋_GB2312" w:cs="仿宋_GB2312"/>
          <w:color w:val="auto"/>
          <w:sz w:val="32"/>
          <w:szCs w:val="32"/>
          <w:lang w:val="en-US" w:eastAsia="zh-CN"/>
        </w:rPr>
        <w:t>全体党员深入学习习近平新时代中国特色社会主义</w:t>
      </w:r>
      <w:r>
        <w:rPr>
          <w:rFonts w:hint="eastAsia" w:ascii="仿宋_GB2312" w:hAnsi="仿宋_GB2312" w:eastAsia="仿宋_GB2312" w:cs="仿宋_GB2312"/>
          <w:sz w:val="32"/>
          <w:szCs w:val="32"/>
          <w:lang w:val="en-US" w:eastAsia="zh-CN"/>
        </w:rPr>
        <w:t>思想，持续学习党的二十大和二十届历次全会精神，</w:t>
      </w:r>
      <w:r>
        <w:rPr>
          <w:rFonts w:ascii="仿宋_GB2312" w:hAnsi="仿宋_GB2312" w:eastAsia="仿宋_GB2312" w:cs="仿宋_GB2312"/>
          <w:sz w:val="32"/>
          <w:szCs w:val="32"/>
          <w:lang w:val="en-US" w:eastAsia="zh-CN"/>
        </w:rPr>
        <w:t>及时跟进学习习近平总书记最新重要讲话和指示批示精神，特别是关于科技创新、知识产权保护的重要论述及考察安徽重要讲话精神。全年组织</w:t>
      </w:r>
      <w:r>
        <w:rPr>
          <w:rFonts w:hint="eastAsia" w:ascii="仿宋_GB2312" w:hAnsi="仿宋_GB2312" w:eastAsia="仿宋_GB2312" w:cs="仿宋_GB2312"/>
          <w:sz w:val="32"/>
          <w:szCs w:val="32"/>
          <w:lang w:val="en-US" w:eastAsia="zh-CN"/>
        </w:rPr>
        <w:t>理论学习12次、</w:t>
      </w:r>
      <w:r>
        <w:rPr>
          <w:rFonts w:ascii="仿宋_GB2312" w:hAnsi="仿宋_GB2312" w:eastAsia="仿宋_GB2312" w:cs="仿宋_GB2312"/>
          <w:sz w:val="32"/>
          <w:szCs w:val="32"/>
          <w:lang w:val="en-US" w:eastAsia="zh-CN"/>
        </w:rPr>
        <w:t>讲党课</w:t>
      </w:r>
      <w:r>
        <w:rPr>
          <w:rFonts w:hint="eastAsia" w:ascii="仿宋_GB2312" w:hAnsi="仿宋_GB2312" w:eastAsia="仿宋_GB2312" w:cs="仿宋_GB2312"/>
          <w:sz w:val="32"/>
          <w:szCs w:val="32"/>
          <w:lang w:val="en-US" w:eastAsia="zh-CN"/>
        </w:rPr>
        <w:t>4</w:t>
      </w:r>
      <w:r>
        <w:rPr>
          <w:rFonts w:ascii="仿宋_GB2312" w:hAnsi="仿宋_GB2312" w:eastAsia="仿宋_GB2312" w:cs="仿宋_GB2312"/>
          <w:sz w:val="32"/>
          <w:szCs w:val="32"/>
          <w:lang w:val="en-US" w:eastAsia="zh-CN"/>
        </w:rPr>
        <w:t>次</w:t>
      </w:r>
      <w:r>
        <w:rPr>
          <w:rFonts w:hint="eastAsia" w:ascii="仿宋_GB2312" w:hAnsi="仿宋_GB2312" w:eastAsia="仿宋_GB2312" w:cs="仿宋_GB2312"/>
          <w:sz w:val="32"/>
          <w:szCs w:val="32"/>
          <w:lang w:val="en-US" w:eastAsia="zh-CN"/>
        </w:rPr>
        <w:t>、</w:t>
      </w:r>
      <w:r>
        <w:rPr>
          <w:rFonts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lang w:val="en-US" w:eastAsia="zh-CN"/>
        </w:rPr>
        <w:t>专项学习教育8次、研讨2次，</w:t>
      </w:r>
      <w:r>
        <w:rPr>
          <w:rFonts w:ascii="仿宋_GB2312" w:hAnsi="仿宋_GB2312" w:eastAsia="仿宋_GB2312" w:cs="仿宋_GB2312"/>
          <w:sz w:val="32"/>
          <w:szCs w:val="32"/>
          <w:lang w:val="en-US" w:eastAsia="zh-CN"/>
        </w:rPr>
        <w:t>引导党员干部深刻领悟“两个确立”的决定性意义，切实增强“四个意识”、坚定“四个自信”、做到“两个维护”的政治自觉、思想自觉和行动自觉。</w:t>
      </w:r>
    </w:p>
    <w:p w14:paraId="14CEE774">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lang w:val="en-US" w:eastAsia="zh-CN"/>
        </w:rPr>
        <w:t>（二）树立和践行正确政绩观</w:t>
      </w:r>
    </w:p>
    <w:p w14:paraId="598D0D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始终坚持实事求是，坚决反对形式主义、官僚主义。教育引导全体预审员深刻认识专利预审工作在支撑高水平科技自立自强、服务安徽“三地一区”建设中的重要意义。在推进专利预审工作中，不追求脱离实际的数据指标，而是聚焦提升预审质量与服务创新主体实效，不断强化“质量+服务”双核驱动的工作理念。无论是落实“应备尽备、应收尽收”，还是创新开展“专利预审服务直通车”活动及精准服务保障试点工作，都坚持以创新主体需求为本和预审员能力提升为基，以解决实际问题为衡量标准，确保各项工作落到实处，经得起实践检验。</w:t>
      </w:r>
    </w:p>
    <w:p w14:paraId="2050AF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三、严守纪律规矩，筑牢廉洁防线</w:t>
      </w:r>
    </w:p>
    <w:p w14:paraId="6B40BB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始终将纪律和规矩挺在前面，严格遵守廉洁自律各项规定，认真履行党风廉政建设“一岗双责”。</w:t>
      </w:r>
    </w:p>
    <w:p w14:paraId="75156186">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lang w:val="en-US" w:eastAsia="zh-CN"/>
        </w:rPr>
        <w:t>（一）严格贯彻落实中央八项规定精神</w:t>
      </w:r>
    </w:p>
    <w:p w14:paraId="5A716B4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在预审服务部深入组织开展中央八项规定精神学习教育</w:t>
      </w:r>
      <w:bookmarkStart w:id="2" w:name="_GoBack"/>
      <w:bookmarkEnd w:id="2"/>
      <w:r>
        <w:rPr>
          <w:rFonts w:hint="eastAsia" w:ascii="仿宋_GB2312" w:hAnsi="仿宋_GB2312" w:eastAsia="仿宋_GB2312" w:cs="仿宋_GB2312"/>
          <w:color w:val="auto"/>
          <w:sz w:val="32"/>
          <w:szCs w:val="32"/>
          <w:lang w:val="en-US" w:eastAsia="zh-CN"/>
        </w:rPr>
        <w:t>，组织观看警示教育片、学习典型案例，紧盯重要节点进行廉洁提醒。</w:t>
      </w:r>
      <w:r>
        <w:rPr>
          <w:rFonts w:hint="eastAsia" w:ascii="仿宋_GB2312" w:hAnsi="仿宋_GB2312" w:eastAsia="仿宋_GB2312" w:cs="仿宋_GB2312"/>
          <w:color w:val="auto"/>
          <w:kern w:val="2"/>
          <w:sz w:val="32"/>
          <w:szCs w:val="32"/>
          <w:lang w:val="en-US" w:eastAsia="zh-CN" w:bidi="ar-SA"/>
        </w:rPr>
        <w:t>严格对照中央八项规定精神，带头改进工作作风</w:t>
      </w:r>
      <w:r>
        <w:rPr>
          <w:rFonts w:hint="eastAsia" w:ascii="仿宋_GB2312" w:hAnsi="仿宋_GB2312" w:eastAsia="仿宋_GB2312" w:cs="仿宋_GB2312"/>
          <w:color w:val="auto"/>
          <w:sz w:val="32"/>
          <w:szCs w:val="32"/>
          <w:lang w:val="en-US" w:eastAsia="zh-CN"/>
        </w:rPr>
        <w:t>，将作风建设要求融入预审业务工作，推动作风建设与预审业务管理同步深化。</w:t>
      </w:r>
      <w:r>
        <w:rPr>
          <w:rFonts w:hint="eastAsia" w:ascii="仿宋_GB2312" w:hAnsi="仿宋_GB2312" w:eastAsia="仿宋_GB2312" w:cs="仿宋_GB2312"/>
          <w:color w:val="auto"/>
          <w:kern w:val="2"/>
          <w:sz w:val="32"/>
          <w:szCs w:val="32"/>
          <w:lang w:val="en-US" w:eastAsia="zh-CN" w:bidi="ar-SA"/>
        </w:rPr>
        <w:t>在公务接待、差旅报销、会议组织等方面，严格按制度办事，坚决杜绝铺张浪费。在开展“直通车”活动和精准服务时，坚持一切从简，不给服务单位增加负担。</w:t>
      </w:r>
    </w:p>
    <w:p w14:paraId="4645C3F2">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lang w:val="en-US" w:eastAsia="zh-CN"/>
        </w:rPr>
        <w:t>（二）履行党风廉政建设“一岗双责”</w:t>
      </w:r>
    </w:p>
    <w:p w14:paraId="5B77FA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深知党风廉政建设是分内之责、应尽之责。始终坚持以身作则，严格执行个人有关事项报告制度，自觉净化社交圈、生活圈、朋友圈，坚持厉行节约、反对浪费。在思想上行动上始终同党中央保持高度一致，将讲政治贯穿专利预审工作各方面、全过程。加强“专行江淮”党建品牌建设，推进党建与业务工作深度融合。加强教育管理，开展保密教育与部门保密管理；开展廉政教育，筑牢拒腐防变的思想防线；加强效能管理，常态化开展效能检查和问题整改，始终保持朝气蓬勃、严肃活泼的精神面貌。2025年，我本人及分管部门未发生任何违规违纪问题。</w:t>
      </w:r>
    </w:p>
    <w:p w14:paraId="7EF3D6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四、坚持学法用法，提升法治素养</w:t>
      </w:r>
    </w:p>
    <w:p w14:paraId="655CAB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作为知识产权快速协同保护领域的一员，我深知法治素养是履职的基本功。</w:t>
      </w:r>
    </w:p>
    <w:p w14:paraId="38E69E6B">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lang w:val="en-US" w:eastAsia="zh-CN"/>
        </w:rPr>
        <w:t>（一）加强法律学习</w:t>
      </w:r>
    </w:p>
    <w:p w14:paraId="4F26B5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带头学习《中华人民共和国专利法》《中华人民共和国专利法实施细则》《专利审查指南》等知识产权领域法律法规，以及《中华人民共和国行政复议法》《中华人民共和国行政诉讼法》等相关法律，在每月组织的预审员能力提升学习交流会上强化法律法规的学习和研讨，不断增强法治思维和能力。</w:t>
      </w:r>
    </w:p>
    <w:p w14:paraId="467F75FD">
      <w:pPr>
        <w:pStyle w:val="17"/>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方正楷体_GB2312" w:hAnsi="方正楷体_GB2312" w:eastAsia="方正楷体_GB2312" w:cs="方正楷体_GB2312"/>
          <w:b/>
          <w:bCs w:val="0"/>
          <w:lang w:val="en-US" w:eastAsia="zh-CN"/>
        </w:rPr>
      </w:pPr>
      <w:r>
        <w:rPr>
          <w:rFonts w:hint="eastAsia" w:ascii="方正楷体_GB2312" w:hAnsi="方正楷体_GB2312" w:eastAsia="方正楷体_GB2312" w:cs="方正楷体_GB2312"/>
          <w:b/>
          <w:bCs w:val="0"/>
          <w:lang w:val="en-US" w:eastAsia="zh-CN"/>
        </w:rPr>
        <w:t>（二）坚持依法办事</w:t>
      </w:r>
    </w:p>
    <w:p w14:paraId="41BE11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严格依据法律法规和有关规定开展专利预审工作。制定各项预审管理制度时，都要经过充分研讨与意见征集，确保内容合法合规。处理涉及备案主体和代理机构的违规行为时，都要召开会商会，坚持事实清楚、证据确凿、定性准确、处理恰当，确保每一项决定都经得起检验。</w:t>
      </w:r>
    </w:p>
    <w:p w14:paraId="3F2B82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五、坚定政治立场，落实意识形态责任</w:t>
      </w:r>
    </w:p>
    <w:p w14:paraId="10E65A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结合专利预审工作实际，我始终高度重视意识形态工作，将其作为一项极端重要的工作来抓。一是强化理论武装。在预审服务部会议中经常性强调意识形态工作的重要性，引导全体预审员坚定正确政治方向，自觉抵制错误思潮。二是管好意识形态阵地。加强对中心官网、微信公众号等涉及预审服务内容发布的审核把关，确保发布信息积极向上、符合政策要求。三是注重预审能力建设</w:t>
      </w:r>
      <w:r>
        <w:rPr>
          <w:rFonts w:hint="eastAsia" w:ascii="仿宋_GB2312" w:hAnsi="仿宋_GB2312" w:eastAsia="仿宋_GB2312" w:cs="仿宋_GB2312"/>
          <w:strike w:val="0"/>
          <w:dstrike w:val="0"/>
          <w:color w:val="auto"/>
          <w:kern w:val="2"/>
          <w:sz w:val="32"/>
          <w:szCs w:val="32"/>
          <w:lang w:val="en-US" w:eastAsia="zh-CN" w:bidi="ar-SA"/>
        </w:rPr>
        <w:t>。强化预审员</w:t>
      </w:r>
      <w:r>
        <w:rPr>
          <w:rFonts w:hint="eastAsia" w:ascii="仿宋_GB2312" w:hAnsi="仿宋_GB2312" w:eastAsia="仿宋_GB2312" w:cs="仿宋_GB2312"/>
          <w:color w:val="auto"/>
          <w:kern w:val="2"/>
          <w:sz w:val="32"/>
          <w:szCs w:val="32"/>
          <w:lang w:val="en-US" w:eastAsia="zh-CN" w:bidi="ar-SA"/>
        </w:rPr>
        <w:t>对专利申请中隐性意识形态风险的研判能力培训，持续完善意识形态风险排查标准，提升预审员在专利预审申请文本审查中对政治术语、敏感词汇以及地图绘制和标注的精准把握能力。</w:t>
      </w:r>
    </w:p>
    <w:p w14:paraId="0C48C7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回顾2025年的工作，虽然取得了一些成绩，但对照省局的高标准严要求以及创新主体的新期待，仍存在一些差距和不足：一是理论学习深入不足、学以致用亟待加强。对党的最新理论成果未能全面掌握，对党的路线方针政策的理解不够透彻，在学习的系统性和深入度上有待提升，导致对政策规定把握不精，与实际工作存在脱节，未能充分运用理论解决工作中的困难和问题，特别是在将专利预审工作深度融入国家和我省重大战略方面，措施不够有力。二是攻坚克难能力有待提升。改革创新意识需进一步增强，敢闯敢拼的劲头还不够足，应对复杂问题时缺乏有效突破，特别是在2025年专利审查全面加严的背景下，未能及时从2024年高授权率的惯性思维中转变，未能及时创新工作方法导致全年授权率有所下降。三是廉政</w:t>
      </w:r>
      <w:r>
        <w:rPr>
          <w:rFonts w:hint="default" w:ascii="仿宋_GB2312" w:hAnsi="仿宋_GB2312" w:eastAsia="仿宋_GB2312" w:cs="仿宋_GB2312"/>
          <w:color w:val="auto"/>
          <w:kern w:val="2"/>
          <w:sz w:val="32"/>
          <w:szCs w:val="32"/>
          <w:lang w:val="en-US" w:eastAsia="zh-CN" w:bidi="ar-SA"/>
        </w:rPr>
        <w:t>风险防控措施精准</w:t>
      </w:r>
      <w:r>
        <w:rPr>
          <w:rFonts w:hint="eastAsia" w:ascii="仿宋_GB2312" w:hAnsi="仿宋_GB2312" w:eastAsia="仿宋_GB2312" w:cs="仿宋_GB2312"/>
          <w:color w:val="auto"/>
          <w:kern w:val="2"/>
          <w:sz w:val="32"/>
          <w:szCs w:val="32"/>
          <w:lang w:val="en-US" w:eastAsia="zh-CN" w:bidi="ar-SA"/>
        </w:rPr>
        <w:t>性不足。对专利预审领域廉政风险的研判不够细致，对潜在廉政隐患重视程度不够，动态监测、预警提醒等措施较为缺乏，前瞻性有待加强。2026年是“十五五”规划的开局之年，在今后的工作中，我将以更严格的标准要求自己、以更务实的举措推进工作，团结同志、凝心聚力、攻坚克难，严把预审质量关、拓展服务深度和广度，在强基固本上下功夫，在追求卓越上出真招，为“三地一区”知识产权强省建设作出新的贡献。</w:t>
      </w:r>
    </w:p>
    <w:p w14:paraId="5A6986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以上报告，不足之处，恳请批评指正。</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3CA249-A27D-421C-A5EF-EEBB19333F0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script"/>
    <w:pitch w:val="default"/>
    <w:sig w:usb0="A00002BF" w:usb1="38CF7CFA" w:usb2="00082016" w:usb3="00000000" w:csb0="00040001" w:csb1="00000000"/>
  </w:font>
  <w:font w:name="方正楷体_GBK">
    <w:panose1 w:val="02000000000000000000"/>
    <w:charset w:val="86"/>
    <w:family w:val="script"/>
    <w:pitch w:val="default"/>
    <w:sig w:usb0="800002BF" w:usb1="38CF7CFA" w:usb2="00000016" w:usb3="00000000" w:csb0="00040000" w:csb1="00000000"/>
  </w:font>
  <w:font w:name="方正小标宋简体">
    <w:panose1 w:val="02000000000000000000"/>
    <w:charset w:val="86"/>
    <w:family w:val="script"/>
    <w:pitch w:val="default"/>
    <w:sig w:usb0="00000001" w:usb1="08000000" w:usb2="00000000" w:usb3="00000000" w:csb0="00040000" w:csb1="00000000"/>
    <w:embedRegular r:id="rId2" w:fontKey="{35C26181-E151-4A4B-9D39-BB7C7B51A110}"/>
  </w:font>
  <w:font w:name="方正楷体_GB2312">
    <w:panose1 w:val="02000000000000000000"/>
    <w:charset w:val="86"/>
    <w:family w:val="auto"/>
    <w:pitch w:val="default"/>
    <w:sig w:usb0="A00002BF" w:usb1="184F6CFA" w:usb2="00000012" w:usb3="00000000" w:csb0="00040001" w:csb1="00000000"/>
    <w:embedRegular r:id="rId3" w:fontKey="{8E6174A1-2934-4A66-A885-17FC889398E2}"/>
  </w:font>
  <w:font w:name="仿宋_GB2312">
    <w:panose1 w:val="02010609030101010101"/>
    <w:charset w:val="86"/>
    <w:family w:val="auto"/>
    <w:pitch w:val="default"/>
    <w:sig w:usb0="00000001" w:usb1="080E0000" w:usb2="00000000" w:usb3="00000000" w:csb0="00040000" w:csb1="00000000"/>
    <w:embedRegular r:id="rId4" w:fontKey="{2E60A065-A4A3-44B7-9B31-9367C4C445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7231">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F9617E">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F9617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1D7C55D"/>
    <w:rsid w:val="012D7AAC"/>
    <w:rsid w:val="013721C6"/>
    <w:rsid w:val="02156806"/>
    <w:rsid w:val="02571C51"/>
    <w:rsid w:val="04004119"/>
    <w:rsid w:val="043628B3"/>
    <w:rsid w:val="052B7D45"/>
    <w:rsid w:val="058368B9"/>
    <w:rsid w:val="05FBEEA1"/>
    <w:rsid w:val="077B1E21"/>
    <w:rsid w:val="096A04BC"/>
    <w:rsid w:val="09C15C02"/>
    <w:rsid w:val="09FE0C04"/>
    <w:rsid w:val="0A051006"/>
    <w:rsid w:val="0A2244A3"/>
    <w:rsid w:val="0B5047D1"/>
    <w:rsid w:val="0BD7795F"/>
    <w:rsid w:val="0BE83F73"/>
    <w:rsid w:val="0D75742F"/>
    <w:rsid w:val="0E35096D"/>
    <w:rsid w:val="0E687CDA"/>
    <w:rsid w:val="0F383090"/>
    <w:rsid w:val="0FDC19E8"/>
    <w:rsid w:val="11351403"/>
    <w:rsid w:val="11AB360B"/>
    <w:rsid w:val="14D26C81"/>
    <w:rsid w:val="16897AA8"/>
    <w:rsid w:val="179D3DEF"/>
    <w:rsid w:val="17B736BA"/>
    <w:rsid w:val="18567E5D"/>
    <w:rsid w:val="1AE479A2"/>
    <w:rsid w:val="1C4D96E3"/>
    <w:rsid w:val="1CF17AD4"/>
    <w:rsid w:val="1DFA6809"/>
    <w:rsid w:val="1E851D67"/>
    <w:rsid w:val="1EB31560"/>
    <w:rsid w:val="1F7C61EC"/>
    <w:rsid w:val="1FDF9FCB"/>
    <w:rsid w:val="1FF3C58A"/>
    <w:rsid w:val="208F6602"/>
    <w:rsid w:val="217972E8"/>
    <w:rsid w:val="21DF8DE5"/>
    <w:rsid w:val="22C73531"/>
    <w:rsid w:val="23902475"/>
    <w:rsid w:val="240E7861"/>
    <w:rsid w:val="25403D60"/>
    <w:rsid w:val="270B3641"/>
    <w:rsid w:val="27A47D56"/>
    <w:rsid w:val="27C546B8"/>
    <w:rsid w:val="28D478FD"/>
    <w:rsid w:val="28FB6FAB"/>
    <w:rsid w:val="2AD46ED1"/>
    <w:rsid w:val="2B705566"/>
    <w:rsid w:val="2B7E2DFA"/>
    <w:rsid w:val="2C7F587F"/>
    <w:rsid w:val="2CF5428C"/>
    <w:rsid w:val="2D0E11B8"/>
    <w:rsid w:val="2E39231C"/>
    <w:rsid w:val="2F252168"/>
    <w:rsid w:val="2F770839"/>
    <w:rsid w:val="2FB22A41"/>
    <w:rsid w:val="2FD11865"/>
    <w:rsid w:val="301E5278"/>
    <w:rsid w:val="30504491"/>
    <w:rsid w:val="306320C1"/>
    <w:rsid w:val="317844FC"/>
    <w:rsid w:val="31C561C1"/>
    <w:rsid w:val="32FA3DAF"/>
    <w:rsid w:val="34F605A6"/>
    <w:rsid w:val="35101930"/>
    <w:rsid w:val="354821AC"/>
    <w:rsid w:val="35B20971"/>
    <w:rsid w:val="35D417D8"/>
    <w:rsid w:val="368C2F70"/>
    <w:rsid w:val="375F451A"/>
    <w:rsid w:val="376F1992"/>
    <w:rsid w:val="37E51AC5"/>
    <w:rsid w:val="37F232A7"/>
    <w:rsid w:val="385D0B63"/>
    <w:rsid w:val="391159AF"/>
    <w:rsid w:val="3913458B"/>
    <w:rsid w:val="39202096"/>
    <w:rsid w:val="39FBC187"/>
    <w:rsid w:val="3A0C67C6"/>
    <w:rsid w:val="3B2F2687"/>
    <w:rsid w:val="3B36B527"/>
    <w:rsid w:val="3B4C7172"/>
    <w:rsid w:val="3BC44F5A"/>
    <w:rsid w:val="3BC62238"/>
    <w:rsid w:val="3CBFD299"/>
    <w:rsid w:val="3D1B1B78"/>
    <w:rsid w:val="3DA516CE"/>
    <w:rsid w:val="3E7A357D"/>
    <w:rsid w:val="3F7FA53D"/>
    <w:rsid w:val="3FBE2AFE"/>
    <w:rsid w:val="3FCFA456"/>
    <w:rsid w:val="3FDF03BB"/>
    <w:rsid w:val="3FFFCE40"/>
    <w:rsid w:val="403C77B5"/>
    <w:rsid w:val="40C8729B"/>
    <w:rsid w:val="410A2B4F"/>
    <w:rsid w:val="41710867"/>
    <w:rsid w:val="41F10678"/>
    <w:rsid w:val="433343AA"/>
    <w:rsid w:val="460F6B83"/>
    <w:rsid w:val="4658336A"/>
    <w:rsid w:val="468E6EBD"/>
    <w:rsid w:val="46FD2B55"/>
    <w:rsid w:val="47EB5F15"/>
    <w:rsid w:val="48531B40"/>
    <w:rsid w:val="48D462BD"/>
    <w:rsid w:val="49DB6A92"/>
    <w:rsid w:val="49F567B6"/>
    <w:rsid w:val="4A914BA1"/>
    <w:rsid w:val="4BAFCBF6"/>
    <w:rsid w:val="4C9425B1"/>
    <w:rsid w:val="4CDB65A8"/>
    <w:rsid w:val="4D5A45CE"/>
    <w:rsid w:val="4EFB98D0"/>
    <w:rsid w:val="4F237DE7"/>
    <w:rsid w:val="4F257D84"/>
    <w:rsid w:val="4F326275"/>
    <w:rsid w:val="4FDBFB01"/>
    <w:rsid w:val="4FF653AC"/>
    <w:rsid w:val="50D81865"/>
    <w:rsid w:val="519136D9"/>
    <w:rsid w:val="52D3730D"/>
    <w:rsid w:val="536B6313"/>
    <w:rsid w:val="53A40EB9"/>
    <w:rsid w:val="53B23453"/>
    <w:rsid w:val="53BD0C76"/>
    <w:rsid w:val="53FF565E"/>
    <w:rsid w:val="541128AF"/>
    <w:rsid w:val="5564006E"/>
    <w:rsid w:val="5578DC73"/>
    <w:rsid w:val="55B6B1A6"/>
    <w:rsid w:val="55C571AD"/>
    <w:rsid w:val="56D9546D"/>
    <w:rsid w:val="574F7976"/>
    <w:rsid w:val="575F370E"/>
    <w:rsid w:val="57FE0660"/>
    <w:rsid w:val="57FFAD24"/>
    <w:rsid w:val="585A5BC2"/>
    <w:rsid w:val="5864558F"/>
    <w:rsid w:val="588C69A8"/>
    <w:rsid w:val="58962E9B"/>
    <w:rsid w:val="597C6A1D"/>
    <w:rsid w:val="59F36CDF"/>
    <w:rsid w:val="5A5B508D"/>
    <w:rsid w:val="5AE75699"/>
    <w:rsid w:val="5AFF661A"/>
    <w:rsid w:val="5B7BC361"/>
    <w:rsid w:val="5BBC65DA"/>
    <w:rsid w:val="5BBF0552"/>
    <w:rsid w:val="5BD42984"/>
    <w:rsid w:val="5C8A7DD2"/>
    <w:rsid w:val="5CEB6393"/>
    <w:rsid w:val="5DF98DC5"/>
    <w:rsid w:val="5E0B0AD6"/>
    <w:rsid w:val="5E2DBC14"/>
    <w:rsid w:val="5E6F9A97"/>
    <w:rsid w:val="5EFEA16F"/>
    <w:rsid w:val="5F471734"/>
    <w:rsid w:val="5F7F02DC"/>
    <w:rsid w:val="5F9BEA9C"/>
    <w:rsid w:val="5FDFE216"/>
    <w:rsid w:val="5FFA36AC"/>
    <w:rsid w:val="62F557C2"/>
    <w:rsid w:val="63227F63"/>
    <w:rsid w:val="63657B08"/>
    <w:rsid w:val="63F7A146"/>
    <w:rsid w:val="640F6747"/>
    <w:rsid w:val="64C25C2B"/>
    <w:rsid w:val="65046244"/>
    <w:rsid w:val="65120B55"/>
    <w:rsid w:val="65420B1A"/>
    <w:rsid w:val="65476131"/>
    <w:rsid w:val="65E40613"/>
    <w:rsid w:val="66BF3AE2"/>
    <w:rsid w:val="66FD81DC"/>
    <w:rsid w:val="6727C0E5"/>
    <w:rsid w:val="676F5B20"/>
    <w:rsid w:val="677B53EC"/>
    <w:rsid w:val="67E73BFB"/>
    <w:rsid w:val="67ED3022"/>
    <w:rsid w:val="68AC06E9"/>
    <w:rsid w:val="6A8E4EC3"/>
    <w:rsid w:val="6AAF0A00"/>
    <w:rsid w:val="6AC61BF3"/>
    <w:rsid w:val="6B7B7B51"/>
    <w:rsid w:val="6B8B0E6F"/>
    <w:rsid w:val="6BFD624D"/>
    <w:rsid w:val="6C5F1FB2"/>
    <w:rsid w:val="6D9300FC"/>
    <w:rsid w:val="6DDE33DE"/>
    <w:rsid w:val="6DE05374"/>
    <w:rsid w:val="6DEF7365"/>
    <w:rsid w:val="6DF528EC"/>
    <w:rsid w:val="6E3D6323"/>
    <w:rsid w:val="6E9BEFD8"/>
    <w:rsid w:val="6EFF6D95"/>
    <w:rsid w:val="6FB7C0FE"/>
    <w:rsid w:val="6FF91296"/>
    <w:rsid w:val="6FFDD2A7"/>
    <w:rsid w:val="6FFE45BE"/>
    <w:rsid w:val="708D6AD5"/>
    <w:rsid w:val="70D3077D"/>
    <w:rsid w:val="711B330E"/>
    <w:rsid w:val="71B468F0"/>
    <w:rsid w:val="720F03BB"/>
    <w:rsid w:val="72EFD898"/>
    <w:rsid w:val="73EB05CF"/>
    <w:rsid w:val="743769C1"/>
    <w:rsid w:val="75EA620F"/>
    <w:rsid w:val="75EFC905"/>
    <w:rsid w:val="75F53ADA"/>
    <w:rsid w:val="75FF1DBA"/>
    <w:rsid w:val="76872831"/>
    <w:rsid w:val="76DD736B"/>
    <w:rsid w:val="776A84EA"/>
    <w:rsid w:val="777F951E"/>
    <w:rsid w:val="77AE0291"/>
    <w:rsid w:val="77C961CA"/>
    <w:rsid w:val="77DD475D"/>
    <w:rsid w:val="77FF6A50"/>
    <w:rsid w:val="78B57859"/>
    <w:rsid w:val="78FF6FC7"/>
    <w:rsid w:val="79314CD6"/>
    <w:rsid w:val="793A7808"/>
    <w:rsid w:val="7970639D"/>
    <w:rsid w:val="79734946"/>
    <w:rsid w:val="79EFB5B4"/>
    <w:rsid w:val="7A9B308C"/>
    <w:rsid w:val="7AF51CB8"/>
    <w:rsid w:val="7AFB6C64"/>
    <w:rsid w:val="7B3A0C41"/>
    <w:rsid w:val="7B5C44D9"/>
    <w:rsid w:val="7B935B1C"/>
    <w:rsid w:val="7BBFF10C"/>
    <w:rsid w:val="7BDE89B9"/>
    <w:rsid w:val="7BDFCABC"/>
    <w:rsid w:val="7BE40725"/>
    <w:rsid w:val="7BEC4AEE"/>
    <w:rsid w:val="7BFCE183"/>
    <w:rsid w:val="7BFF557F"/>
    <w:rsid w:val="7C386CDE"/>
    <w:rsid w:val="7C4C72E7"/>
    <w:rsid w:val="7C75464D"/>
    <w:rsid w:val="7C7BA088"/>
    <w:rsid w:val="7C8415C1"/>
    <w:rsid w:val="7D2D2E35"/>
    <w:rsid w:val="7D7610D2"/>
    <w:rsid w:val="7DAA4898"/>
    <w:rsid w:val="7DCD3C03"/>
    <w:rsid w:val="7DD4FC65"/>
    <w:rsid w:val="7DDFDA85"/>
    <w:rsid w:val="7DE33219"/>
    <w:rsid w:val="7DF348CD"/>
    <w:rsid w:val="7DFD9D46"/>
    <w:rsid w:val="7DFEF3BA"/>
    <w:rsid w:val="7E1E0B34"/>
    <w:rsid w:val="7E896C87"/>
    <w:rsid w:val="7EF99898"/>
    <w:rsid w:val="7F032C71"/>
    <w:rsid w:val="7F3CAE1E"/>
    <w:rsid w:val="7F7775F3"/>
    <w:rsid w:val="7F7D2713"/>
    <w:rsid w:val="7F8019A1"/>
    <w:rsid w:val="7F9FC08A"/>
    <w:rsid w:val="7FBB6056"/>
    <w:rsid w:val="7FBF58D6"/>
    <w:rsid w:val="7FDBB5F1"/>
    <w:rsid w:val="7FDE844F"/>
    <w:rsid w:val="7FE6086A"/>
    <w:rsid w:val="7FF0DD05"/>
    <w:rsid w:val="7FF4C371"/>
    <w:rsid w:val="7FF6E086"/>
    <w:rsid w:val="7FF6E2D8"/>
    <w:rsid w:val="7FFF9FCD"/>
    <w:rsid w:val="7FFFE211"/>
    <w:rsid w:val="8DDC7EE1"/>
    <w:rsid w:val="91E953FE"/>
    <w:rsid w:val="977419E9"/>
    <w:rsid w:val="9AAF9CCD"/>
    <w:rsid w:val="9B67CC9C"/>
    <w:rsid w:val="9FC6667C"/>
    <w:rsid w:val="A6FFAB13"/>
    <w:rsid w:val="A77A5C1F"/>
    <w:rsid w:val="A7FFEF20"/>
    <w:rsid w:val="AF774F01"/>
    <w:rsid w:val="AF77951E"/>
    <w:rsid w:val="AFC79D60"/>
    <w:rsid w:val="AFEF4835"/>
    <w:rsid w:val="AFF3D406"/>
    <w:rsid w:val="B0F75F75"/>
    <w:rsid w:val="B3AED68F"/>
    <w:rsid w:val="B7CB7360"/>
    <w:rsid w:val="B7E73BAC"/>
    <w:rsid w:val="B7FAEFDD"/>
    <w:rsid w:val="B897F6EE"/>
    <w:rsid w:val="BADDF457"/>
    <w:rsid w:val="BBF39C1B"/>
    <w:rsid w:val="BDBB4890"/>
    <w:rsid w:val="BDDE9E7B"/>
    <w:rsid w:val="BDEF83AA"/>
    <w:rsid w:val="BECB60DC"/>
    <w:rsid w:val="BEFB5C28"/>
    <w:rsid w:val="BF1D0BA6"/>
    <w:rsid w:val="BF7E2804"/>
    <w:rsid w:val="BF7FB2C6"/>
    <w:rsid w:val="BFCBF8A1"/>
    <w:rsid w:val="BFFB8D74"/>
    <w:rsid w:val="CA36BBF0"/>
    <w:rsid w:val="CDFAE2A5"/>
    <w:rsid w:val="CFF72CCD"/>
    <w:rsid w:val="D3BAE0C8"/>
    <w:rsid w:val="D3E77781"/>
    <w:rsid w:val="D5B9E82C"/>
    <w:rsid w:val="D7D33215"/>
    <w:rsid w:val="D95F4403"/>
    <w:rsid w:val="D9CB6DCD"/>
    <w:rsid w:val="DB3E6BCC"/>
    <w:rsid w:val="DB3F6E27"/>
    <w:rsid w:val="DBBB7F8A"/>
    <w:rsid w:val="DBFE868A"/>
    <w:rsid w:val="DDF7A05E"/>
    <w:rsid w:val="DDFF09CC"/>
    <w:rsid w:val="DF4F6FB8"/>
    <w:rsid w:val="DF7F4721"/>
    <w:rsid w:val="DFE73230"/>
    <w:rsid w:val="DFEF14E2"/>
    <w:rsid w:val="E1D7C55D"/>
    <w:rsid w:val="E637D72F"/>
    <w:rsid w:val="E6FDC4B6"/>
    <w:rsid w:val="E76FCEBF"/>
    <w:rsid w:val="E79FFC76"/>
    <w:rsid w:val="E7FD5723"/>
    <w:rsid w:val="EB7DB490"/>
    <w:rsid w:val="EBA56904"/>
    <w:rsid w:val="ED351FB0"/>
    <w:rsid w:val="EF19199B"/>
    <w:rsid w:val="EF6FD000"/>
    <w:rsid w:val="EFAC13D8"/>
    <w:rsid w:val="EFDFB711"/>
    <w:rsid w:val="EFE3D2AE"/>
    <w:rsid w:val="EFFBCBE3"/>
    <w:rsid w:val="EFFF2E11"/>
    <w:rsid w:val="F3DF2F01"/>
    <w:rsid w:val="F3FB99B2"/>
    <w:rsid w:val="F4ACA186"/>
    <w:rsid w:val="F5BD6E47"/>
    <w:rsid w:val="F5FDB604"/>
    <w:rsid w:val="F6674C83"/>
    <w:rsid w:val="F6BB09AB"/>
    <w:rsid w:val="F6BF8806"/>
    <w:rsid w:val="F6D5B464"/>
    <w:rsid w:val="F6E6F297"/>
    <w:rsid w:val="F6F77A33"/>
    <w:rsid w:val="F787AF72"/>
    <w:rsid w:val="F7B77EEA"/>
    <w:rsid w:val="F7BBE7D1"/>
    <w:rsid w:val="F7FC671A"/>
    <w:rsid w:val="F7FCF944"/>
    <w:rsid w:val="F7FE07A6"/>
    <w:rsid w:val="F892D55F"/>
    <w:rsid w:val="FA393B2F"/>
    <w:rsid w:val="FAB71FD8"/>
    <w:rsid w:val="FAF6F828"/>
    <w:rsid w:val="FAFFCE7D"/>
    <w:rsid w:val="FB272F3A"/>
    <w:rsid w:val="FB6B6B50"/>
    <w:rsid w:val="FB98A5A9"/>
    <w:rsid w:val="FBBF9BCA"/>
    <w:rsid w:val="FBE727A5"/>
    <w:rsid w:val="FBEFE617"/>
    <w:rsid w:val="FBF92D18"/>
    <w:rsid w:val="FBFAD7F9"/>
    <w:rsid w:val="FCDDB7A2"/>
    <w:rsid w:val="FCEE086B"/>
    <w:rsid w:val="FD7E5AC0"/>
    <w:rsid w:val="FDAFF2D7"/>
    <w:rsid w:val="FDBFBEA8"/>
    <w:rsid w:val="FE4F81C0"/>
    <w:rsid w:val="FE5B36BC"/>
    <w:rsid w:val="FE762FC0"/>
    <w:rsid w:val="FEF9B880"/>
    <w:rsid w:val="FEFE4D54"/>
    <w:rsid w:val="FEFEC0C4"/>
    <w:rsid w:val="FF3EFA1F"/>
    <w:rsid w:val="FF7F9D97"/>
    <w:rsid w:val="FF8D5171"/>
    <w:rsid w:val="FFBD4E12"/>
    <w:rsid w:val="FFBF5C36"/>
    <w:rsid w:val="FFC536B3"/>
    <w:rsid w:val="FFDB9B7C"/>
    <w:rsid w:val="FFDDE87D"/>
    <w:rsid w:val="FFF72C7E"/>
    <w:rsid w:val="FFF9A967"/>
    <w:rsid w:val="FFFBD7BB"/>
    <w:rsid w:val="FFFC6C86"/>
    <w:rsid w:val="FFFEC2E9"/>
    <w:rsid w:val="FFFF00BF"/>
    <w:rsid w:val="FFFF2C03"/>
    <w:rsid w:val="FFFF7C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Subtitle"/>
    <w:basedOn w:val="1"/>
    <w:next w:val="1"/>
    <w:qFormat/>
    <w:uiPriority w:val="11"/>
    <w:pPr>
      <w:spacing w:before="240" w:after="60" w:line="312" w:lineRule="auto"/>
      <w:jc w:val="center"/>
      <w:outlineLvl w:val="1"/>
    </w:pPr>
    <w:rPr>
      <w:rFonts w:asciiTheme="minorHAnsi" w:hAnsiTheme="minorHAnsi" w:eastAsiaTheme="minorEastAsia"/>
      <w:b/>
      <w:bCs/>
      <w:kern w:val="28"/>
      <w:sz w:val="32"/>
      <w:szCs w:val="32"/>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Autospacing="1" w:afterAutospacing="1"/>
      <w:jc w:val="left"/>
    </w:pPr>
    <w:rPr>
      <w:rFonts w:ascii="Calibri" w:hAnsi="Calibri" w:eastAsia="宋体"/>
      <w:kern w:val="0"/>
      <w:sz w:val="24"/>
    </w:rPr>
  </w:style>
  <w:style w:type="character" w:styleId="12">
    <w:name w:val="Strong"/>
    <w:basedOn w:val="11"/>
    <w:qFormat/>
    <w:uiPriority w:val="0"/>
    <w:rPr>
      <w:b/>
    </w:rPr>
  </w:style>
  <w:style w:type="character" w:styleId="13">
    <w:name w:val="Emphasis"/>
    <w:basedOn w:val="11"/>
    <w:qFormat/>
    <w:uiPriority w:val="0"/>
    <w:rPr>
      <w:i/>
    </w:rPr>
  </w:style>
  <w:style w:type="paragraph" w:customStyle="1" w:styleId="14">
    <w:name w:val="BodyText1I2"/>
    <w:basedOn w:val="15"/>
    <w:next w:val="1"/>
    <w:qFormat/>
    <w:uiPriority w:val="99"/>
    <w:pPr>
      <w:ind w:firstLine="420" w:firstLineChars="200"/>
    </w:pPr>
  </w:style>
  <w:style w:type="paragraph" w:customStyle="1" w:styleId="15">
    <w:name w:val="BodyTextIndent"/>
    <w:basedOn w:val="1"/>
    <w:qFormat/>
    <w:uiPriority w:val="99"/>
    <w:pPr>
      <w:spacing w:after="120"/>
      <w:ind w:left="420" w:leftChars="200"/>
      <w:textAlignment w:val="baseline"/>
    </w:pPr>
    <w:rPr>
      <w:rFonts w:ascii="Times New Roman" w:hAnsi="Times New Roman" w:cs="Times New Roman"/>
    </w:rPr>
  </w:style>
  <w:style w:type="paragraph" w:customStyle="1" w:styleId="16">
    <w:name w:val="公文正文"/>
    <w:basedOn w:val="7"/>
    <w:qFormat/>
    <w:uiPriority w:val="0"/>
    <w:pPr>
      <w:widowControl w:val="0"/>
      <w:spacing w:before="0" w:after="0" w:line="560" w:lineRule="exact"/>
      <w:ind w:firstLine="200" w:firstLineChars="200"/>
      <w:jc w:val="both"/>
      <w:outlineLvl w:val="9"/>
    </w:pPr>
    <w:rPr>
      <w:rFonts w:eastAsia="方正仿宋_GBK" w:cstheme="majorBidi"/>
      <w:b w:val="0"/>
    </w:rPr>
  </w:style>
  <w:style w:type="paragraph" w:customStyle="1" w:styleId="17">
    <w:name w:val="（一）"/>
    <w:basedOn w:val="16"/>
    <w:qFormat/>
    <w:uiPriority w:val="0"/>
    <w:pPr>
      <w:jc w:val="left"/>
      <w:outlineLvl w:val="1"/>
    </w:pPr>
    <w:rPr>
      <w:rFonts w:eastAsia="方正楷体_GBK"/>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fd2500-f5bf-45f2-9b36-e0a68645fa96}">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4003</Words>
  <Characters>4109</Characters>
  <Lines>0</Lines>
  <Paragraphs>0</Paragraphs>
  <TotalTime>36</TotalTime>
  <ScaleCrop>false</ScaleCrop>
  <LinksUpToDate>false</LinksUpToDate>
  <CharactersWithSpaces>4110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2020-05-14T09:52:00Z</dcterms:created>
  <dc:creator>uos</dc:creator>
  <cp:lastModifiedBy>王国兵</cp:lastModifiedBy>
  <cp:lastPrinted>2026-03-23T09:18:36Z</cp:lastPrinted>
  <dcterms:modified xsi:type="dcterms:W3CDTF">2026-03-23T09:24:46Z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DCD20435A20EC7070CDA436717A4A33C</vt:lpwstr>
  </property>
  <property fmtid="{D5CDD505-2E9C-101B-9397-08002B2CF9AE}" pid="4" name="KSOTemplateDocerSaveRecord">
    <vt:lpwstr>eyJoZGlkIjoiNTJlMmQ4ZGE5ODM1YzVkNDU0Nzc5M2U4YTA1ODM0N2UiLCJ1c2VySWQiOiI0Mjc5NDI4NjcifQ==</vt:lpwstr>
  </property>
</Properties>
</file>