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2025年度述职述德述廉报告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楷体_GB2312" w:eastAsia="楷体_GB2312"/>
          <w:b w:val="0"/>
          <w:bCs/>
          <w:sz w:val="36"/>
          <w:szCs w:val="36"/>
          <w:lang w:eastAsia="zh-CN"/>
        </w:rPr>
        <w:t>省知识产权保护中心党总支委员、副主任</w:t>
      </w:r>
      <w:r>
        <w:rPr>
          <w:rFonts w:hint="eastAsia" w:ascii="楷体_GB2312" w:eastAsia="楷体_GB2312"/>
          <w:b w:val="0"/>
          <w:bCs/>
          <w:sz w:val="36"/>
          <w:szCs w:val="36"/>
          <w:lang w:val="en-US" w:eastAsia="zh-CN"/>
        </w:rPr>
        <w:t xml:space="preserve"> 陈俭</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eastAsia="楷体_GB2312"/>
          <w:b w:val="0"/>
          <w:bCs/>
          <w:sz w:val="36"/>
          <w:szCs w:val="36"/>
          <w:lang w:val="en-US" w:eastAsia="zh-CN"/>
        </w:rPr>
      </w:pPr>
      <w:r>
        <w:rPr>
          <w:rFonts w:hint="eastAsia" w:ascii="楷体_GB2312" w:eastAsia="楷体_GB2312"/>
          <w:b w:val="0"/>
          <w:bCs/>
          <w:sz w:val="36"/>
          <w:szCs w:val="36"/>
          <w:lang w:val="en-US" w:eastAsia="zh-CN"/>
        </w:rPr>
        <w:t>（</w:t>
      </w:r>
      <w:r>
        <w:rPr>
          <w:rFonts w:hint="eastAsia" w:ascii="楷体_GB2312" w:eastAsia="楷体_GB2312"/>
          <w:b w:val="0"/>
          <w:bCs/>
          <w:sz w:val="36"/>
          <w:szCs w:val="36"/>
          <w:lang w:val="en-US" w:eastAsia="zh-CN"/>
        </w:rPr>
        <w:t>2026年3月</w:t>
      </w:r>
      <w:r>
        <w:rPr>
          <w:rFonts w:hint="eastAsia" w:ascii="楷体_GB2312" w:eastAsia="楷体_GB2312"/>
          <w:b w:val="0"/>
          <w:bCs/>
          <w:sz w:val="36"/>
          <w:szCs w:val="36"/>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left"/>
        <w:textAlignment w:val="auto"/>
        <w:outlineLvl w:val="9"/>
        <w:rPr>
          <w:rFonts w:hint="eastAsia" w:ascii="仿宋_GB2312" w:hAnsi="仿宋_GB2312" w:eastAsia="仿宋_GB2312" w:cs="仿宋_GB231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720" w:firstLineChars="200"/>
        <w:jc w:val="left"/>
        <w:textAlignment w:val="auto"/>
        <w:outlineLvl w:val="9"/>
        <w:rPr>
          <w:rFonts w:hint="eastAsia" w:ascii="仿宋_GB2312" w:hAnsi="仿宋_GB2312" w:eastAsia="仿宋_GB2312" w:cs="仿宋_GB2312"/>
          <w:color w:val="auto"/>
          <w:sz w:val="36"/>
          <w:szCs w:val="36"/>
          <w:u w:val="none"/>
        </w:rPr>
      </w:pPr>
      <w:r>
        <w:rPr>
          <w:rFonts w:hint="eastAsia" w:ascii="仿宋_GB2312" w:hAnsi="仿宋_GB2312" w:eastAsia="仿宋_GB2312" w:cs="仿宋_GB2312"/>
          <w:sz w:val="36"/>
          <w:szCs w:val="36"/>
          <w:lang w:val="en-US" w:eastAsia="zh-CN"/>
        </w:rPr>
        <w:t>2025年，</w:t>
      </w:r>
      <w:r>
        <w:rPr>
          <w:rFonts w:hint="eastAsia" w:ascii="仿宋_GB2312" w:hAnsi="仿宋_GB2312" w:eastAsia="仿宋_GB2312" w:cs="仿宋_GB2312"/>
          <w:sz w:val="36"/>
          <w:szCs w:val="36"/>
          <w:lang w:val="zh-CN" w:eastAsia="zh-CN"/>
        </w:rPr>
        <w:t>本人担任省知识产权保护中心副主任，分管维权援助部、运用促进部和综合管理部部分工作职能（人事、会议、文秘、机要、制度建设及考核工作，与相关部门沟通协调、政务信息统计管理、中</w:t>
      </w:r>
      <w:r>
        <w:rPr>
          <w:rFonts w:hint="eastAsia" w:ascii="仿宋_GB2312" w:hAnsi="仿宋_GB2312" w:eastAsia="仿宋_GB2312" w:cs="仿宋_GB2312"/>
          <w:color w:val="000000" w:themeColor="text1"/>
          <w:sz w:val="36"/>
          <w:szCs w:val="36"/>
          <w:lang w:val="zh-CN" w:eastAsia="zh-CN"/>
          <w14:textFill>
            <w14:solidFill>
              <w14:schemeClr w14:val="tx1"/>
            </w14:solidFill>
          </w14:textFill>
        </w:rPr>
        <w:t>心文化建设及公益研讨、培训、展览、宣传等公共服务组织工作）。期间</w:t>
      </w:r>
      <w:r>
        <w:rPr>
          <w:rFonts w:hint="eastAsia" w:ascii="仿宋_GB2312" w:hAnsi="仿宋_GB2312" w:eastAsia="仿宋_GB2312" w:cs="仿宋_GB2312"/>
          <w:color w:val="000000" w:themeColor="text1"/>
          <w:sz w:val="36"/>
          <w:szCs w:val="36"/>
          <w:lang w:val="en-US" w:eastAsia="zh-CN"/>
          <w14:textFill>
            <w14:solidFill>
              <w14:schemeClr w14:val="tx1"/>
            </w14:solidFill>
          </w14:textFill>
        </w:rPr>
        <w:t>11-12月份，借用到省局公共服务处工作。</w:t>
      </w:r>
      <w:r>
        <w:rPr>
          <w:rFonts w:hint="eastAsia" w:ascii="仿宋_GB2312" w:hAnsi="仿宋_GB2312" w:eastAsia="仿宋_GB2312" w:cs="仿宋_GB2312"/>
          <w:color w:val="000000" w:themeColor="text1"/>
          <w:sz w:val="36"/>
          <w:szCs w:val="36"/>
          <w:u w:val="none"/>
          <w14:textFill>
            <w14:solidFill>
              <w14:schemeClr w14:val="tx1"/>
            </w14:solidFill>
          </w14:textFill>
        </w:rPr>
        <w:t>根据综合考核要求，现将本</w:t>
      </w:r>
      <w:r>
        <w:rPr>
          <w:rFonts w:hint="eastAsia" w:ascii="仿宋_GB2312" w:hAnsi="仿宋_GB2312" w:eastAsia="仿宋_GB2312" w:cs="仿宋_GB2312"/>
          <w:color w:val="auto"/>
          <w:sz w:val="36"/>
          <w:szCs w:val="36"/>
          <w:u w:val="none"/>
        </w:rPr>
        <w:t>人</w:t>
      </w:r>
      <w:r>
        <w:rPr>
          <w:rFonts w:hint="eastAsia" w:ascii="仿宋_GB2312" w:hAnsi="仿宋_GB2312" w:eastAsia="仿宋_GB2312" w:cs="仿宋_GB2312"/>
          <w:color w:val="auto"/>
          <w:sz w:val="36"/>
          <w:szCs w:val="36"/>
          <w:u w:val="none"/>
          <w:lang w:val="en-US" w:eastAsia="zh-CN"/>
        </w:rPr>
        <w:t>2025年度</w:t>
      </w:r>
      <w:r>
        <w:rPr>
          <w:rFonts w:hint="eastAsia" w:ascii="仿宋_GB2312" w:hAnsi="仿宋_GB2312" w:eastAsia="仿宋_GB2312" w:cs="仿宋_GB2312"/>
          <w:color w:val="auto"/>
          <w:sz w:val="36"/>
          <w:szCs w:val="36"/>
          <w:u w:val="none"/>
        </w:rPr>
        <w:t>履行岗位职责、德能勤绩廉等方面情况报告如下：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720" w:firstLineChars="200"/>
        <w:jc w:val="left"/>
        <w:textAlignment w:val="auto"/>
        <w:outlineLvl w:val="9"/>
        <w:rPr>
          <w:rFonts w:hint="eastAsia" w:ascii="黑体" w:hAnsi="黑体" w:eastAsia="黑体" w:cs="黑体"/>
          <w:kern w:val="2"/>
          <w:sz w:val="36"/>
          <w:szCs w:val="36"/>
        </w:rPr>
      </w:pPr>
      <w:r>
        <w:rPr>
          <w:rFonts w:hint="eastAsia" w:ascii="黑体" w:hAnsi="黑体" w:eastAsia="黑体" w:cs="黑体"/>
          <w:kern w:val="2"/>
          <w:sz w:val="36"/>
          <w:szCs w:val="36"/>
          <w:lang w:eastAsia="zh-CN"/>
        </w:rPr>
        <w:t>一、</w:t>
      </w:r>
      <w:r>
        <w:rPr>
          <w:rFonts w:hint="eastAsia" w:ascii="黑体" w:hAnsi="黑体" w:eastAsia="黑体"/>
          <w:sz w:val="36"/>
          <w:szCs w:val="36"/>
          <w:lang w:eastAsia="zh-CN"/>
        </w:rPr>
        <w:t>坚持</w:t>
      </w:r>
      <w:r>
        <w:rPr>
          <w:rFonts w:hint="eastAsia" w:ascii="黑体" w:hAnsi="黑体" w:eastAsia="黑体"/>
          <w:sz w:val="36"/>
          <w:szCs w:val="36"/>
          <w:lang w:val="en-US" w:eastAsia="zh-CN"/>
        </w:rPr>
        <w:t>理论学习常抓不懈</w:t>
      </w:r>
    </w:p>
    <w:p>
      <w:pPr>
        <w:pStyle w:val="2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720" w:firstLineChars="200"/>
        <w:jc w:val="left"/>
        <w:textAlignment w:val="baseline"/>
        <w:rPr>
          <w:rFonts w:hint="eastAsia" w:ascii="楷体_GB2312" w:hAnsi="楷体_GB2312" w:eastAsia="楷体_GB2312" w:cs="楷体_GB2312"/>
          <w:b/>
          <w:bCs/>
          <w:sz w:val="36"/>
          <w:szCs w:val="36"/>
          <w:lang w:val="en-US" w:eastAsia="zh-CN"/>
        </w:rPr>
      </w:pPr>
      <w:r>
        <w:rPr>
          <w:rFonts w:hint="eastAsia" w:ascii="仿宋_GB2312" w:hAnsi="仿宋_GB2312" w:eastAsia="仿宋_GB2312" w:cs="仿宋_GB2312"/>
          <w:sz w:val="36"/>
          <w:szCs w:val="36"/>
          <w:lang w:val="en-US" w:eastAsia="zh-CN"/>
        </w:rPr>
        <w:t>始终坚持将政治理论学习摆在首位，持续深入学习习近平新时代中国特色社会主义思想，学习党的二十大和党的二十届三中、四中全会精神，学习习近平总书记考察安徽重要讲话精神，学习党章党规，切实树牢“四个意识”，坚定“四个自信”，坚决做到“两个维护”。</w:t>
      </w:r>
      <w:r>
        <w:rPr>
          <w:rFonts w:hint="eastAsia" w:ascii="仿宋_GB2312" w:hAnsi="仿宋_GB2312" w:eastAsia="仿宋_GB2312" w:cs="仿宋_GB2312"/>
          <w:color w:val="auto"/>
          <w:sz w:val="36"/>
          <w:szCs w:val="36"/>
          <w:lang w:val="en-US" w:eastAsia="zh-CN"/>
        </w:rPr>
        <w:t>深入学习习近平总书记关于知识产权工作重要论述，</w:t>
      </w:r>
      <w:r>
        <w:rPr>
          <w:rFonts w:hint="eastAsia" w:ascii="仿宋_GB2312" w:hAnsi="仿宋_GB2312" w:eastAsia="仿宋_GB2312" w:cs="仿宋_GB2312"/>
          <w:sz w:val="36"/>
          <w:szCs w:val="36"/>
          <w:lang w:val="en-US" w:eastAsia="zh-CN"/>
        </w:rPr>
        <w:t>认真研究知识产权相关法律法规和政策文件，加强业务知识和管理知识学习，不断提升业务素质和管</w:t>
      </w:r>
      <w:bookmarkStart w:id="0" w:name="_GoBack"/>
      <w:bookmarkEnd w:id="0"/>
      <w:r>
        <w:rPr>
          <w:rFonts w:hint="eastAsia" w:ascii="仿宋_GB2312" w:hAnsi="仿宋_GB2312" w:eastAsia="仿宋_GB2312" w:cs="仿宋_GB2312"/>
          <w:sz w:val="36"/>
          <w:szCs w:val="36"/>
          <w:lang w:val="en-US" w:eastAsia="zh-CN"/>
        </w:rPr>
        <w:t>理能力。</w:t>
      </w:r>
    </w:p>
    <w:p>
      <w:pPr>
        <w:keepNext w:val="0"/>
        <w:keepLines w:val="0"/>
        <w:pageBreakBefore w:val="0"/>
        <w:widowControl/>
        <w:numPr>
          <w:numId w:val="0"/>
        </w:numPr>
        <w:suppressLineNumbers w:val="0"/>
        <w:kinsoku/>
        <w:wordWrap/>
        <w:overflowPunct/>
        <w:topLinePunct w:val="0"/>
        <w:autoSpaceDE/>
        <w:autoSpaceDN/>
        <w:bidi w:val="0"/>
        <w:adjustRightInd/>
        <w:snapToGrid/>
        <w:spacing w:line="560" w:lineRule="exact"/>
        <w:ind w:firstLine="720" w:firstLineChars="200"/>
        <w:jc w:val="left"/>
        <w:textAlignment w:val="auto"/>
        <w:rPr>
          <w:rFonts w:hint="eastAsia" w:ascii="黑体" w:hAnsi="黑体" w:eastAsia="黑体"/>
          <w:sz w:val="36"/>
          <w:szCs w:val="36"/>
          <w:lang w:val="en-US" w:eastAsia="zh-CN"/>
        </w:rPr>
      </w:pPr>
      <w:r>
        <w:rPr>
          <w:rFonts w:hint="eastAsia" w:ascii="黑体" w:hAnsi="黑体" w:eastAsia="黑体"/>
          <w:sz w:val="36"/>
          <w:szCs w:val="36"/>
          <w:lang w:val="en-US" w:eastAsia="zh-CN"/>
        </w:rPr>
        <w:t>二、认真扎实开展本职工作</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716" w:firstLineChars="200"/>
        <w:jc w:val="left"/>
        <w:rPr>
          <w:rFonts w:hint="default" w:ascii="楷体_GB2312" w:hAnsi="楷体_GB2312" w:eastAsia="楷体_GB2312" w:cs="楷体_GB2312"/>
          <w:b w:val="0"/>
          <w:bCs/>
          <w:color w:val="000000"/>
          <w:spacing w:val="-1"/>
          <w:sz w:val="36"/>
          <w:szCs w:val="36"/>
          <w:lang w:val="en-US" w:eastAsia="zh-CN"/>
        </w:rPr>
      </w:pPr>
      <w:r>
        <w:rPr>
          <w:rFonts w:hint="eastAsia" w:ascii="楷体_GB2312" w:hAnsi="楷体_GB2312" w:eastAsia="楷体_GB2312" w:cs="楷体_GB2312"/>
          <w:b w:val="0"/>
          <w:bCs/>
          <w:color w:val="000000"/>
          <w:spacing w:val="-1"/>
          <w:sz w:val="36"/>
          <w:szCs w:val="36"/>
          <w:lang w:val="en-US" w:eastAsia="zh-CN"/>
        </w:rPr>
        <w:t>（一）1-10月份在保护中心工作期间</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716" w:firstLineChars="200"/>
        <w:jc w:val="left"/>
        <w:rPr>
          <w:rFonts w:hint="eastAsia" w:ascii="楷体_GB2312" w:hAnsi="楷体_GB2312" w:eastAsia="楷体_GB2312" w:cs="楷体_GB2312"/>
          <w:b w:val="0"/>
          <w:bCs/>
          <w:color w:val="000000"/>
          <w:spacing w:val="-1"/>
          <w:sz w:val="36"/>
          <w:szCs w:val="36"/>
          <w:lang w:val="en-US" w:eastAsia="zh-CN"/>
        </w:rPr>
      </w:pPr>
      <w:r>
        <w:rPr>
          <w:rFonts w:hint="eastAsia" w:ascii="楷体_GB2312" w:hAnsi="楷体_GB2312" w:eastAsia="楷体_GB2312" w:cs="楷体_GB2312"/>
          <w:b w:val="0"/>
          <w:bCs/>
          <w:color w:val="000000"/>
          <w:spacing w:val="-1"/>
          <w:sz w:val="36"/>
          <w:szCs w:val="36"/>
          <w:lang w:val="en-US" w:eastAsia="zh-CN"/>
        </w:rPr>
        <w:t>在维权援助与协同保护工作方面，</w:t>
      </w:r>
      <w:r>
        <w:rPr>
          <w:rFonts w:hint="eastAsia" w:ascii="仿宋_GB2312" w:hAnsi="仿宋_GB2312" w:eastAsia="仿宋_GB2312" w:cs="仿宋_GB2312"/>
          <w:b/>
          <w:bCs/>
          <w:sz w:val="36"/>
          <w:szCs w:val="36"/>
          <w:lang w:val="en-US" w:eastAsia="zh-CN"/>
        </w:rPr>
        <w:t>一是</w:t>
      </w:r>
      <w:r>
        <w:rPr>
          <w:rFonts w:hint="eastAsia" w:ascii="仿宋_GB2312" w:hAnsi="仿宋_GB2312" w:eastAsia="仿宋_GB2312" w:cs="仿宋_GB2312"/>
          <w:sz w:val="36"/>
          <w:szCs w:val="36"/>
          <w:lang w:val="en-US" w:eastAsia="zh-CN"/>
        </w:rPr>
        <w:t>行政保护技术支撑坚实有力。制定印发《专利侵权判定咨询工作规程》《技术调查官指派与管理细则》等5项配套制度，以出具侵权判定咨询意见、指派技术调查官参与案件调查审理、提供专利状态检索分析等方式，支撑全省各级知识产权管理部门办理专利侵权纠纷行政裁决、商标侵权行政执法、电子商务领域专利侵权查处及行政调解等各类案件共计1050件。</w:t>
      </w:r>
      <w:r>
        <w:rPr>
          <w:rFonts w:hint="eastAsia" w:ascii="仿宋_GB2312" w:hAnsi="仿宋_GB2312" w:eastAsia="仿宋_GB2312" w:cs="仿宋_GB2312"/>
          <w:b/>
          <w:bCs/>
          <w:sz w:val="36"/>
          <w:szCs w:val="36"/>
          <w:lang w:val="en-US" w:eastAsia="zh-CN"/>
        </w:rPr>
        <w:t>二是</w:t>
      </w:r>
      <w:r>
        <w:rPr>
          <w:rFonts w:hint="eastAsia" w:ascii="仿宋_GB2312" w:hAnsi="仿宋_GB2312" w:eastAsia="仿宋_GB2312" w:cs="仿宋_GB2312"/>
          <w:sz w:val="36"/>
          <w:szCs w:val="36"/>
          <w:lang w:val="en-US" w:eastAsia="zh-CN"/>
        </w:rPr>
        <w:t>维权援助网络与纠纷化解机制日益健全。纵向完善“省中心-16个市级分中心-N个基层工作站”的“1+16+N”三级维权援助体系，推动维权援助服务网络向基层延伸。截至2025年底，全省共建成各类维权援助机构286个，实现了维权援助工作站在全省所有县（市、区）的全覆盖。横向深化部门协同，与省公安厅、省检察院、合肥海关、省文化和旅游厅等部门签署或深化协同保护框架协议，在线索移送、案件协查、联合执法、信息共享等方面开展务实合作，全年开展跨部门联合行动、联合办案12次，并实现了与文旅部门在著作权执法协作领域“零的突破”。积极构建多元化知识产权纠纷解决机制，与合肥知识产权法庭、合肥仲裁委员会等签署诉调、仲调对接协议，调解组织及调解员全面入驻人民法院在线调解平台。创新将“新时代六尺巷工作法”和谐理念融入知识产权纠纷调解实践，探索“人民调解+司法确认”“行政调解+仲裁确认”等新模式，有效降低当事人维权成本。2025年，中心主导调解知识产权纠纷60起，成功化解23起，调解成功率38%，纠纷平均处理周期显著缩短。</w:t>
      </w:r>
      <w:r>
        <w:rPr>
          <w:rFonts w:hint="eastAsia" w:ascii="仿宋_GB2312" w:hAnsi="仿宋_GB2312" w:eastAsia="仿宋_GB2312" w:cs="仿宋_GB2312"/>
          <w:b/>
          <w:bCs/>
          <w:sz w:val="36"/>
          <w:szCs w:val="36"/>
          <w:lang w:val="en-US" w:eastAsia="zh-CN"/>
        </w:rPr>
        <w:t>三是</w:t>
      </w:r>
      <w:r>
        <w:rPr>
          <w:rFonts w:hint="eastAsia" w:ascii="仿宋_GB2312" w:hAnsi="仿宋_GB2312" w:eastAsia="仿宋_GB2312" w:cs="仿宋_GB2312"/>
          <w:sz w:val="36"/>
          <w:szCs w:val="36"/>
          <w:lang w:val="en-US" w:eastAsia="zh-CN"/>
        </w:rPr>
        <w:t>涉外知识产权保护能力稳步提升。面对企业“走出去”日益增长的知识产权保护需求，中心制定《涉外知识产权维权援助工作规程》，建立内部协作响应机制。与国家海外知识产权纠纷应对指导中心安徽分中心、山东省知识产权保护中心等建立跨区域协作机制，共享信息资源，协同应对重大涉外纠纷。通过中心官网、公众号开设专栏，全年发布主要贸易目的地知识产权环境资讯、风险预警提示20期。举办涉外知识产权保护专题培训、研讨会5场，覆盖企业超500家。积极开展海外风险预警专项服务，为5家拟出口产品的高新技术企业提供了定制化的专利风险预警分析报告。在应对本省某高科技企业与比利时企业的专利许可合同纠纷中，中心联合分中心提供全程专业指导，帮助企业厘清合同条款、固定关键证据，最终挽回潜在经济损失近300万元。全年共办理各类海外维权援助与应对指导案件6件，涉及美国、德国、阿联酋等多个国家和地区。</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716" w:firstLineChars="200"/>
        <w:jc w:val="left"/>
        <w:rPr>
          <w:rFonts w:hint="eastAsia" w:ascii="楷体_GB2312" w:hAnsi="楷体_GB2312" w:eastAsia="楷体_GB2312" w:cs="楷体_GB2312"/>
          <w:b w:val="0"/>
          <w:bCs/>
          <w:color w:val="000000"/>
          <w:spacing w:val="-1"/>
          <w:sz w:val="36"/>
          <w:szCs w:val="36"/>
          <w:lang w:val="en-US" w:eastAsia="zh-CN"/>
        </w:rPr>
      </w:pPr>
      <w:r>
        <w:rPr>
          <w:rFonts w:hint="eastAsia" w:ascii="楷体_GB2312" w:hAnsi="楷体_GB2312" w:eastAsia="楷体_GB2312" w:cs="楷体_GB2312"/>
          <w:b w:val="0"/>
          <w:bCs/>
          <w:color w:val="000000"/>
          <w:spacing w:val="-1"/>
          <w:sz w:val="36"/>
          <w:szCs w:val="36"/>
          <w:lang w:val="en-US" w:eastAsia="zh-CN"/>
        </w:rPr>
        <w:t>在运用促进与公共服务方面，</w:t>
      </w:r>
      <w:r>
        <w:rPr>
          <w:rFonts w:hint="eastAsia" w:ascii="仿宋_GB2312" w:hAnsi="仿宋_GB2312" w:eastAsia="仿宋_GB2312" w:cs="仿宋_GB2312"/>
          <w:b/>
          <w:bCs/>
          <w:sz w:val="36"/>
          <w:szCs w:val="36"/>
          <w:lang w:val="en-US" w:eastAsia="zh-CN"/>
        </w:rPr>
        <w:t>一是</w:t>
      </w:r>
      <w:r>
        <w:rPr>
          <w:rFonts w:hint="eastAsia" w:ascii="仿宋_GB2312" w:hAnsi="仿宋_GB2312" w:eastAsia="仿宋_GB2312" w:cs="仿宋_GB2312"/>
          <w:sz w:val="36"/>
          <w:szCs w:val="36"/>
          <w:lang w:val="en-US" w:eastAsia="zh-CN"/>
        </w:rPr>
        <w:t>公共服务品牌体系化建设成效明显。全力打造“皖知+”知识产权公共服务品牌矩阵，“皖知·新语”知识产权公益讲堂举办线上线下讲座36期，累计服务创新主体逾4000人次；“皖知·桑梓”聚焦安徽地理标志产品，策划推出专题宣传报道14期；“皖知·少年行”知识产权研学营活动成功举办。商标业务安徽窗口服务稳步运行，全年共受理商标注册、变更、续展等各类业务414件。发布并动态更新《安徽省知识产权保护中心公共服务事项清单》，提供基础检索、咨询、培训等普惠性服务超万人次。</w:t>
      </w:r>
      <w:r>
        <w:rPr>
          <w:rFonts w:hint="eastAsia" w:ascii="仿宋_GB2312" w:hAnsi="仿宋_GB2312" w:eastAsia="仿宋_GB2312" w:cs="仿宋_GB2312"/>
          <w:b/>
          <w:bCs/>
          <w:sz w:val="36"/>
          <w:szCs w:val="36"/>
          <w:lang w:val="en-US" w:eastAsia="zh-CN"/>
        </w:rPr>
        <w:t>二是</w:t>
      </w:r>
      <w:r>
        <w:rPr>
          <w:rFonts w:hint="eastAsia" w:ascii="仿宋_GB2312" w:hAnsi="仿宋_GB2312" w:eastAsia="仿宋_GB2312" w:cs="仿宋_GB2312"/>
          <w:sz w:val="36"/>
          <w:szCs w:val="36"/>
          <w:lang w:val="en-US" w:eastAsia="zh-CN"/>
        </w:rPr>
        <w:t>专利导航与信息分析支撑作用增强。围绕安徽省战略性新兴产业及未来产业布局，建成并上线运行涵盖量子信息、人工智能、储能新材料、生物基材料、新能源汽车（智能驾驶）、高端装备制造等9个重点领域的专利导航专题数据库，累计收录全球相关专利文献数百万条，为产业和创新主体提供了便捷高效的专题数据检索分析平台。完成《安徽省新能源汽车（智能驾驶）产业专利导航分析报告》《安徽省生物基新材料产业专利导航报告》等4份重点产业专利导航报告，相关成果已报送省有关产业主管部门，并为国轩高科、皖维高新等链主企业技术研发方向确定和高端人才引进提供了精准的数据参考。</w:t>
      </w:r>
      <w:r>
        <w:rPr>
          <w:rFonts w:hint="eastAsia" w:ascii="仿宋_GB2312" w:hAnsi="仿宋_GB2312" w:eastAsia="仿宋_GB2312" w:cs="仿宋_GB2312"/>
          <w:b/>
          <w:bCs/>
          <w:sz w:val="36"/>
          <w:szCs w:val="36"/>
          <w:lang w:val="en-US" w:eastAsia="zh-CN"/>
        </w:rPr>
        <w:t>三是</w:t>
      </w:r>
      <w:r>
        <w:rPr>
          <w:rFonts w:hint="eastAsia" w:ascii="仿宋_GB2312" w:hAnsi="仿宋_GB2312" w:eastAsia="仿宋_GB2312" w:cs="仿宋_GB2312"/>
          <w:sz w:val="36"/>
          <w:szCs w:val="36"/>
          <w:lang w:val="en-US" w:eastAsia="zh-CN"/>
        </w:rPr>
        <w:t>运用促进工作深入开展。积极推动知识产权转化运用，组织赴安徽理工大学、滁州职业技术学院、皖西学院等多所高校以及淮南煤化工产业园等产业集聚区，开展“知识产权万里行”暨专利转化运用专题调研宣贯活动，促进产学研对接。协助省局开展知识产权质押融资“入园惠企”行动，参与组织全省知识产权创新创业大赛、全国知识产权公共服务机构专利检索分析大赛安徽赛区活动。</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716" w:firstLineChars="200"/>
        <w:jc w:val="left"/>
        <w:rPr>
          <w:rFonts w:hint="eastAsia" w:ascii="楷体_GB2312" w:hAnsi="楷体_GB2312" w:eastAsia="楷体_GB2312" w:cs="楷体_GB2312"/>
          <w:b w:val="0"/>
          <w:bCs/>
          <w:color w:val="000000"/>
          <w:spacing w:val="-1"/>
          <w:sz w:val="36"/>
          <w:szCs w:val="36"/>
          <w:lang w:val="en-US" w:eastAsia="zh-CN"/>
        </w:rPr>
      </w:pPr>
      <w:r>
        <w:rPr>
          <w:rFonts w:hint="eastAsia" w:ascii="楷体_GB2312" w:hAnsi="楷体_GB2312" w:eastAsia="楷体_GB2312" w:cs="楷体_GB2312"/>
          <w:b w:val="0"/>
          <w:bCs/>
          <w:color w:val="000000"/>
          <w:spacing w:val="-1"/>
          <w:sz w:val="36"/>
          <w:szCs w:val="36"/>
          <w:lang w:val="en-US" w:eastAsia="zh-CN"/>
        </w:rPr>
        <w:t>在综合管理方面，</w:t>
      </w:r>
      <w:r>
        <w:rPr>
          <w:rFonts w:hint="eastAsia" w:ascii="仿宋_GB2312" w:hAnsi="仿宋_GB2312" w:eastAsia="仿宋_GB2312" w:cs="仿宋_GB2312"/>
          <w:b/>
          <w:bCs/>
          <w:sz w:val="36"/>
          <w:szCs w:val="36"/>
          <w:lang w:val="en-US" w:eastAsia="zh-CN"/>
        </w:rPr>
        <w:t>一是</w:t>
      </w:r>
      <w:r>
        <w:rPr>
          <w:rFonts w:hint="eastAsia" w:ascii="仿宋_GB2312" w:hAnsi="仿宋_GB2312" w:eastAsia="仿宋_GB2312" w:cs="仿宋_GB2312"/>
          <w:sz w:val="36"/>
          <w:szCs w:val="36"/>
          <w:lang w:val="en-US" w:eastAsia="zh-CN"/>
        </w:rPr>
        <w:t>人才队伍建设持续优化。</w:t>
      </w:r>
      <w:r>
        <w:rPr>
          <w:rFonts w:hint="eastAsia" w:ascii="仿宋_GB2312" w:hAnsi="仿宋_GB2312" w:eastAsia="仿宋_GB2312" w:cs="仿宋_GB2312"/>
          <w:sz w:val="36"/>
          <w:szCs w:val="36"/>
          <w:lang w:val="en-US" w:eastAsia="zh-CN"/>
        </w:rPr>
        <w:t>根据中心业务发展需要，进行岗位调整和人员晋升，做好人员薪酬管理。</w:t>
      </w:r>
      <w:r>
        <w:rPr>
          <w:rFonts w:hint="eastAsia" w:ascii="仿宋_GB2312" w:hAnsi="仿宋_GB2312" w:eastAsia="仿宋_GB2312" w:cs="仿宋_GB2312"/>
          <w:sz w:val="36"/>
          <w:szCs w:val="36"/>
          <w:lang w:val="en-US" w:eastAsia="zh-CN"/>
        </w:rPr>
        <w:t>加强对180人维权援助专家库和97人调解员队伍的管理使用，充分借助外力支撑工作开展。鼓励职工提升专业能力，新增5人通过国家专利代理师资格考试并获得资格。在第五届知识产权快速协同保护业务竞赛等国家级赛事中，中心团队荣获团体三等奖及唯一个人奖项。</w:t>
      </w:r>
      <w:r>
        <w:rPr>
          <w:rFonts w:hint="eastAsia" w:ascii="仿宋_GB2312" w:hAnsi="仿宋_GB2312" w:eastAsia="仿宋_GB2312" w:cs="仿宋_GB2312"/>
          <w:b/>
          <w:bCs/>
          <w:sz w:val="36"/>
          <w:szCs w:val="36"/>
          <w:lang w:val="en-US" w:eastAsia="zh-CN"/>
        </w:rPr>
        <w:t>二是</w:t>
      </w:r>
      <w:r>
        <w:rPr>
          <w:rFonts w:hint="eastAsia" w:ascii="仿宋_GB2312" w:hAnsi="仿宋_GB2312" w:eastAsia="仿宋_GB2312" w:cs="仿宋_GB2312"/>
          <w:sz w:val="36"/>
          <w:szCs w:val="36"/>
          <w:lang w:val="en-US" w:eastAsia="zh-CN"/>
        </w:rPr>
        <w:t>持续完善内部制度体系，持续抓好中心内部管理。</w:t>
      </w:r>
      <w:r>
        <w:rPr>
          <w:rFonts w:hint="eastAsia" w:ascii="仿宋_GB2312" w:hAnsi="仿宋_GB2312" w:eastAsia="仿宋_GB2312" w:cs="仿宋_GB2312"/>
          <w:b/>
          <w:bCs/>
          <w:sz w:val="36"/>
          <w:szCs w:val="36"/>
          <w:lang w:val="en-US" w:eastAsia="zh-CN"/>
        </w:rPr>
        <w:t>三是</w:t>
      </w:r>
      <w:r>
        <w:rPr>
          <w:rFonts w:hint="eastAsia" w:ascii="仿宋_GB2312" w:hAnsi="仿宋_GB2312" w:eastAsia="仿宋_GB2312" w:cs="仿宋_GB2312"/>
          <w:sz w:val="36"/>
          <w:szCs w:val="36"/>
          <w:lang w:val="en-US" w:eastAsia="zh-CN"/>
        </w:rPr>
        <w:t>做好宣传工作。</w:t>
      </w:r>
      <w:r>
        <w:rPr>
          <w:rFonts w:hint="eastAsia" w:ascii="仿宋_GB2312" w:hAnsi="仿宋_GB2312" w:eastAsia="仿宋_GB2312" w:cs="仿宋_GB2312"/>
          <w:b w:val="0"/>
          <w:bCs w:val="0"/>
          <w:sz w:val="36"/>
          <w:szCs w:val="36"/>
          <w:lang w:val="en-US" w:eastAsia="zh-CN"/>
        </w:rPr>
        <w:t>借助省局网站及公众号、中心网站及公众号、中国知识产权维权援助网等媒介，积极踊跃发布新闻稿件，制作宣传视频，持续扩大保护中心影响力。</w:t>
      </w:r>
      <w:r>
        <w:rPr>
          <w:rFonts w:hint="eastAsia" w:ascii="仿宋_GB2312" w:hAnsi="仿宋_GB2312" w:eastAsia="仿宋_GB2312" w:cs="仿宋_GB2312"/>
          <w:b/>
          <w:bCs/>
          <w:sz w:val="36"/>
          <w:szCs w:val="36"/>
          <w:lang w:val="en-US" w:eastAsia="zh-CN"/>
        </w:rPr>
        <w:t>四是</w:t>
      </w:r>
      <w:r>
        <w:rPr>
          <w:rFonts w:hint="eastAsia" w:ascii="仿宋_GB2312" w:hAnsi="仿宋_GB2312" w:eastAsia="仿宋_GB2312" w:cs="仿宋_GB2312"/>
          <w:sz w:val="36"/>
          <w:szCs w:val="36"/>
          <w:lang w:val="en-US" w:eastAsia="zh-CN"/>
        </w:rPr>
        <w:t>牵头组织签署《长三角地区知识产权快速协同保护合作备忘录》，主办首次长三角地区知识产权快速协同保护工作会商会。</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716" w:firstLineChars="200"/>
        <w:jc w:val="left"/>
        <w:rPr>
          <w:rFonts w:hint="eastAsia" w:ascii="楷体_GB2312" w:hAnsi="楷体_GB2312" w:eastAsia="楷体_GB2312" w:cs="楷体_GB2312"/>
          <w:b w:val="0"/>
          <w:bCs/>
          <w:color w:val="000000"/>
          <w:spacing w:val="-1"/>
          <w:sz w:val="36"/>
          <w:szCs w:val="36"/>
          <w:lang w:val="en-US" w:eastAsia="zh-CN"/>
        </w:rPr>
      </w:pPr>
      <w:r>
        <w:rPr>
          <w:rFonts w:hint="eastAsia" w:ascii="楷体_GB2312" w:hAnsi="楷体_GB2312" w:eastAsia="楷体_GB2312" w:cs="楷体_GB2312"/>
          <w:b w:val="0"/>
          <w:bCs/>
          <w:color w:val="000000"/>
          <w:spacing w:val="-1"/>
          <w:sz w:val="36"/>
          <w:szCs w:val="36"/>
          <w:lang w:val="en-US" w:eastAsia="zh-CN"/>
        </w:rPr>
        <w:t>（二）11-12月份在公共服务处工作期间</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720" w:firstLineChars="200"/>
        <w:jc w:val="left"/>
        <w:rPr>
          <w:rFonts w:hint="default"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借用期间，一是认真学习知识产权公共服务、规划等相关文件，熟悉处里工作内容。二是参与起草省政府专报、领导讲话等综合文稿。三是梳理汇总全省知识产权专员情况，筛选并表彰2025年度优秀专员。四是开展全省专利检索技能大赛相关前期谋划准备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textAlignment w:val="auto"/>
        <w:outlineLvl w:val="9"/>
        <w:rPr>
          <w:rFonts w:hint="eastAsia" w:ascii="黑体" w:hAnsi="黑体" w:eastAsia="黑体"/>
          <w:sz w:val="36"/>
          <w:szCs w:val="36"/>
          <w:lang w:val="en-US" w:eastAsia="zh-CN"/>
        </w:rPr>
      </w:pPr>
      <w:r>
        <w:rPr>
          <w:rFonts w:hint="eastAsia" w:ascii="黑体" w:hAnsi="黑体" w:eastAsia="黑体"/>
          <w:sz w:val="36"/>
          <w:szCs w:val="36"/>
          <w:lang w:val="en-US" w:eastAsia="zh-CN"/>
        </w:rPr>
        <w:t>三、严格遵守各项规章制度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720" w:firstLineChars="200"/>
        <w:jc w:val="left"/>
        <w:textAlignment w:val="auto"/>
        <w:outlineLvl w:val="9"/>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b w:val="0"/>
          <w:bCs w:val="0"/>
          <w:sz w:val="36"/>
          <w:szCs w:val="36"/>
          <w:lang w:val="en-US" w:eastAsia="zh-CN"/>
        </w:rPr>
        <w:t>严格遵守中央“八项规定”和省局、保护中心廉洁自律相关要求，坚持严于律己，自觉接受监督。认真履行“一岗双责”，加强对党员干部的教育、管理和监督。始终把廉政勤政贯穿于日常工作之中，切实筑牢拒腐防变的思想防线。组织纪律性强，时刻做到自重、自醒、自警、自励，注意维护自身良好形象，未发生过违反相关规章制度的行为。</w:t>
      </w: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eBxdMAIAAGM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hMmzLGz1zvIIHeXxdnUMkLNTOYrSK4HuxA1mr+vT8E7icP+576Ie/w3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LNJWO7QAAAABQEAAA8AAAAAAAAAAQAgAAAAOAAAAGRy&#10;cy9kb3ducmV2LnhtbFBLAQIUABQAAAAIAIdO4kBQeBxdMAIAAGMEAAAOAAAAAAAAAAEAIAAAADUB&#10;AABkcnMvZTJvRG9jLnhtbFBLBQYAAAAABgAGAFkBAADXBQAAAAA=&#10;">
              <v:fill on="f" focussize="0,0"/>
              <v:stroke on="f" weight="0.5pt"/>
              <v:imagedata o:title=""/>
              <o:lock v:ext="edit" aspectratio="f"/>
              <v:textbox inset="0mm,0mm,0mm,0mm"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xZjc0MmQyNzM0NWQyNjc5YTMyZDFmNjM0YTQ4ZDUifQ=="/>
  </w:docVars>
  <w:rsids>
    <w:rsidRoot w:val="0033156A"/>
    <w:rsid w:val="00001CB4"/>
    <w:rsid w:val="00091AA9"/>
    <w:rsid w:val="000A28B4"/>
    <w:rsid w:val="000E2DDA"/>
    <w:rsid w:val="00124DDA"/>
    <w:rsid w:val="00157FF4"/>
    <w:rsid w:val="001A1C4F"/>
    <w:rsid w:val="0022465D"/>
    <w:rsid w:val="002B5E43"/>
    <w:rsid w:val="002E67C3"/>
    <w:rsid w:val="00324A95"/>
    <w:rsid w:val="00327573"/>
    <w:rsid w:val="00327A65"/>
    <w:rsid w:val="0033156A"/>
    <w:rsid w:val="00351E63"/>
    <w:rsid w:val="00387D8B"/>
    <w:rsid w:val="003C36FB"/>
    <w:rsid w:val="00422531"/>
    <w:rsid w:val="00465984"/>
    <w:rsid w:val="00485003"/>
    <w:rsid w:val="00485D5B"/>
    <w:rsid w:val="004D1418"/>
    <w:rsid w:val="005346CC"/>
    <w:rsid w:val="005767BA"/>
    <w:rsid w:val="007975F5"/>
    <w:rsid w:val="007F21B8"/>
    <w:rsid w:val="008F1FAB"/>
    <w:rsid w:val="008F63AB"/>
    <w:rsid w:val="00913E9D"/>
    <w:rsid w:val="00926525"/>
    <w:rsid w:val="00967400"/>
    <w:rsid w:val="00977ED1"/>
    <w:rsid w:val="009938D4"/>
    <w:rsid w:val="00A370C1"/>
    <w:rsid w:val="00A81BB1"/>
    <w:rsid w:val="00A86867"/>
    <w:rsid w:val="00AB6363"/>
    <w:rsid w:val="00AE7799"/>
    <w:rsid w:val="00AF2D3D"/>
    <w:rsid w:val="00B036E2"/>
    <w:rsid w:val="00B06417"/>
    <w:rsid w:val="00B46B78"/>
    <w:rsid w:val="00B52364"/>
    <w:rsid w:val="00B74A47"/>
    <w:rsid w:val="00BA6A03"/>
    <w:rsid w:val="00BB3FB8"/>
    <w:rsid w:val="00C35524"/>
    <w:rsid w:val="00C35B98"/>
    <w:rsid w:val="00C54EB1"/>
    <w:rsid w:val="00C84665"/>
    <w:rsid w:val="00CC6D03"/>
    <w:rsid w:val="00D1044E"/>
    <w:rsid w:val="00D174C0"/>
    <w:rsid w:val="00D4022E"/>
    <w:rsid w:val="00D80ECD"/>
    <w:rsid w:val="00DD15DD"/>
    <w:rsid w:val="00F16A71"/>
    <w:rsid w:val="00F66966"/>
    <w:rsid w:val="00F747AF"/>
    <w:rsid w:val="00FE1D78"/>
    <w:rsid w:val="05CA58A0"/>
    <w:rsid w:val="07EB336C"/>
    <w:rsid w:val="08BB02CF"/>
    <w:rsid w:val="0A8D625C"/>
    <w:rsid w:val="0AFB5CBD"/>
    <w:rsid w:val="0B5B10A6"/>
    <w:rsid w:val="0BC13D07"/>
    <w:rsid w:val="0BC26D72"/>
    <w:rsid w:val="0C95097F"/>
    <w:rsid w:val="0DB7018A"/>
    <w:rsid w:val="0E2E1116"/>
    <w:rsid w:val="0EC17946"/>
    <w:rsid w:val="0FEF7F78"/>
    <w:rsid w:val="1172323A"/>
    <w:rsid w:val="12F20C18"/>
    <w:rsid w:val="141025C0"/>
    <w:rsid w:val="16073B88"/>
    <w:rsid w:val="1A4C1FE5"/>
    <w:rsid w:val="1BEE55A6"/>
    <w:rsid w:val="1C165D1E"/>
    <w:rsid w:val="1DF03F38"/>
    <w:rsid w:val="1FC27443"/>
    <w:rsid w:val="1FCA382B"/>
    <w:rsid w:val="1FEB925B"/>
    <w:rsid w:val="1FF80A17"/>
    <w:rsid w:val="203144F2"/>
    <w:rsid w:val="25EA32FC"/>
    <w:rsid w:val="27E15F40"/>
    <w:rsid w:val="28162E16"/>
    <w:rsid w:val="283F468C"/>
    <w:rsid w:val="297E235E"/>
    <w:rsid w:val="298A2D15"/>
    <w:rsid w:val="29C837FF"/>
    <w:rsid w:val="2B6C0DDB"/>
    <w:rsid w:val="2DA30090"/>
    <w:rsid w:val="2DFDD25C"/>
    <w:rsid w:val="2F9F7B51"/>
    <w:rsid w:val="2FFDC5C4"/>
    <w:rsid w:val="3266700D"/>
    <w:rsid w:val="32BA544C"/>
    <w:rsid w:val="33B963A9"/>
    <w:rsid w:val="33EDCDAA"/>
    <w:rsid w:val="33FBAD74"/>
    <w:rsid w:val="35CC27EC"/>
    <w:rsid w:val="35FF961D"/>
    <w:rsid w:val="37B8E76D"/>
    <w:rsid w:val="38786300"/>
    <w:rsid w:val="38F47FC7"/>
    <w:rsid w:val="39FA7C8C"/>
    <w:rsid w:val="3A6F3F9A"/>
    <w:rsid w:val="3BAA7274"/>
    <w:rsid w:val="3BB7761C"/>
    <w:rsid w:val="3CD32AFC"/>
    <w:rsid w:val="3CE12820"/>
    <w:rsid w:val="3E5806E9"/>
    <w:rsid w:val="3EB3323F"/>
    <w:rsid w:val="3EFA3142"/>
    <w:rsid w:val="3F104848"/>
    <w:rsid w:val="3FD7373F"/>
    <w:rsid w:val="41A171D1"/>
    <w:rsid w:val="42CD1925"/>
    <w:rsid w:val="45037686"/>
    <w:rsid w:val="49087CC7"/>
    <w:rsid w:val="4A156CC4"/>
    <w:rsid w:val="527269BD"/>
    <w:rsid w:val="53F81A11"/>
    <w:rsid w:val="573644F3"/>
    <w:rsid w:val="57645343"/>
    <w:rsid w:val="582D5312"/>
    <w:rsid w:val="58E01A8A"/>
    <w:rsid w:val="59FF098E"/>
    <w:rsid w:val="5B3ED4ED"/>
    <w:rsid w:val="5B514141"/>
    <w:rsid w:val="5BF6ED67"/>
    <w:rsid w:val="5C3117C6"/>
    <w:rsid w:val="5CAF6C7F"/>
    <w:rsid w:val="5CCD5E16"/>
    <w:rsid w:val="5CFA266A"/>
    <w:rsid w:val="5D294775"/>
    <w:rsid w:val="5D734423"/>
    <w:rsid w:val="5DD54266"/>
    <w:rsid w:val="5F6F7A43"/>
    <w:rsid w:val="5F979CC3"/>
    <w:rsid w:val="5FFED6FA"/>
    <w:rsid w:val="5FFF45D0"/>
    <w:rsid w:val="60335ABD"/>
    <w:rsid w:val="60802FD5"/>
    <w:rsid w:val="61210432"/>
    <w:rsid w:val="63DE2485"/>
    <w:rsid w:val="66DB47B6"/>
    <w:rsid w:val="67F603DB"/>
    <w:rsid w:val="68A350F1"/>
    <w:rsid w:val="6A3877EF"/>
    <w:rsid w:val="6AFF6DE7"/>
    <w:rsid w:val="6C8E12F1"/>
    <w:rsid w:val="6D570F40"/>
    <w:rsid w:val="6D7E80EF"/>
    <w:rsid w:val="6DFDDFB0"/>
    <w:rsid w:val="6EED3D04"/>
    <w:rsid w:val="6EFE67EB"/>
    <w:rsid w:val="6F1E02B4"/>
    <w:rsid w:val="6F6DA32B"/>
    <w:rsid w:val="6F7F0C4C"/>
    <w:rsid w:val="6FD30F9C"/>
    <w:rsid w:val="6FF76A13"/>
    <w:rsid w:val="707576D4"/>
    <w:rsid w:val="728E1078"/>
    <w:rsid w:val="72AF4108"/>
    <w:rsid w:val="73761FF8"/>
    <w:rsid w:val="746F6A29"/>
    <w:rsid w:val="75ADEBDF"/>
    <w:rsid w:val="75B7DEDB"/>
    <w:rsid w:val="75BFF1AA"/>
    <w:rsid w:val="769F88AD"/>
    <w:rsid w:val="76B03359"/>
    <w:rsid w:val="76E126B5"/>
    <w:rsid w:val="771F611C"/>
    <w:rsid w:val="777EF51F"/>
    <w:rsid w:val="77EF8D38"/>
    <w:rsid w:val="77EFDA75"/>
    <w:rsid w:val="77FF2F66"/>
    <w:rsid w:val="77FFE68B"/>
    <w:rsid w:val="78FFFA64"/>
    <w:rsid w:val="798F7790"/>
    <w:rsid w:val="79BF6F9D"/>
    <w:rsid w:val="7AE92495"/>
    <w:rsid w:val="7AFE0092"/>
    <w:rsid w:val="7B3DACF2"/>
    <w:rsid w:val="7B5F1EEA"/>
    <w:rsid w:val="7B8C2A35"/>
    <w:rsid w:val="7CDB3914"/>
    <w:rsid w:val="7D21220D"/>
    <w:rsid w:val="7D3D1F81"/>
    <w:rsid w:val="7E712AC4"/>
    <w:rsid w:val="7EBF0C47"/>
    <w:rsid w:val="7ECB0F05"/>
    <w:rsid w:val="7F0F17C5"/>
    <w:rsid w:val="7F3DA8AD"/>
    <w:rsid w:val="7FA1193F"/>
    <w:rsid w:val="7FBDB47A"/>
    <w:rsid w:val="7FFDF031"/>
    <w:rsid w:val="7FFEE723"/>
    <w:rsid w:val="7FFFB77E"/>
    <w:rsid w:val="9BFBA0E8"/>
    <w:rsid w:val="A57D8A52"/>
    <w:rsid w:val="B266B99B"/>
    <w:rsid w:val="B27E4C3D"/>
    <w:rsid w:val="B62B5A16"/>
    <w:rsid w:val="BACF33D7"/>
    <w:rsid w:val="BBF79693"/>
    <w:rsid w:val="BDB71528"/>
    <w:rsid w:val="BDF7861B"/>
    <w:rsid w:val="BFDFF4BB"/>
    <w:rsid w:val="C7BA237E"/>
    <w:rsid w:val="CACD754E"/>
    <w:rsid w:val="CDE95B67"/>
    <w:rsid w:val="CF4E61CA"/>
    <w:rsid w:val="D897DCC4"/>
    <w:rsid w:val="D9FD4EB6"/>
    <w:rsid w:val="DAFA5230"/>
    <w:rsid w:val="DBFBAFB6"/>
    <w:rsid w:val="DCBCFDD1"/>
    <w:rsid w:val="DF714467"/>
    <w:rsid w:val="DFDB3A46"/>
    <w:rsid w:val="DFFF0F65"/>
    <w:rsid w:val="E277207D"/>
    <w:rsid w:val="E37BDBD9"/>
    <w:rsid w:val="E7B347C2"/>
    <w:rsid w:val="E8D69EAA"/>
    <w:rsid w:val="E9FE2484"/>
    <w:rsid w:val="EBFB127B"/>
    <w:rsid w:val="ECFF10F4"/>
    <w:rsid w:val="EF2E0B47"/>
    <w:rsid w:val="EF8FD1A1"/>
    <w:rsid w:val="EFE6E8A4"/>
    <w:rsid w:val="EFEF8B53"/>
    <w:rsid w:val="EFFF7723"/>
    <w:rsid w:val="F36CE04F"/>
    <w:rsid w:val="F3CCE7FE"/>
    <w:rsid w:val="F57EA32B"/>
    <w:rsid w:val="F5E99211"/>
    <w:rsid w:val="F79FAF05"/>
    <w:rsid w:val="F7BA712B"/>
    <w:rsid w:val="F7EFACBD"/>
    <w:rsid w:val="F7FF50E8"/>
    <w:rsid w:val="F8BF7381"/>
    <w:rsid w:val="F9D361FB"/>
    <w:rsid w:val="FAF72D70"/>
    <w:rsid w:val="FBAF8E6E"/>
    <w:rsid w:val="FBC06334"/>
    <w:rsid w:val="FCEBEB03"/>
    <w:rsid w:val="FDDF830B"/>
    <w:rsid w:val="FE564C1F"/>
    <w:rsid w:val="FEFA3D18"/>
    <w:rsid w:val="FF61E53F"/>
    <w:rsid w:val="FF7F9AD8"/>
    <w:rsid w:val="FF9FA2B4"/>
    <w:rsid w:val="FFB59E24"/>
    <w:rsid w:val="FFEF7D5F"/>
    <w:rsid w:val="FFF63122"/>
    <w:rsid w:val="FFF7954F"/>
    <w:rsid w:val="FFFC2ED1"/>
    <w:rsid w:val="FFFD376E"/>
    <w:rsid w:val="FFFF7AF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0"/>
    <w:pPr>
      <w:spacing w:beforeAutospacing="1" w:afterAutospacing="1"/>
      <w:jc w:val="left"/>
      <w:outlineLvl w:val="0"/>
    </w:pPr>
    <w:rPr>
      <w:rFonts w:hint="eastAsia" w:ascii="宋体" w:hAnsi="宋体"/>
      <w:kern w:val="44"/>
      <w:sz w:val="30"/>
      <w:szCs w:val="30"/>
    </w:rPr>
  </w:style>
  <w:style w:type="paragraph" w:styleId="3">
    <w:name w:val="heading 2"/>
    <w:basedOn w:val="1"/>
    <w:next w:val="1"/>
    <w:qFormat/>
    <w:uiPriority w:val="0"/>
    <w:pPr>
      <w:spacing w:before="100" w:beforeAutospacing="1" w:after="100" w:afterAutospacing="1"/>
      <w:jc w:val="left"/>
      <w:outlineLvl w:val="1"/>
    </w:pPr>
    <w:rPr>
      <w:rFonts w:ascii="宋体" w:hAnsi="宋体" w:cs="宋体"/>
      <w:b/>
      <w:bCs/>
      <w:kern w:val="0"/>
      <w:sz w:val="36"/>
      <w:szCs w:val="36"/>
    </w:rPr>
  </w:style>
  <w:style w:type="character" w:default="1" w:styleId="16">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Body Text"/>
    <w:basedOn w:val="1"/>
    <w:qFormat/>
    <w:uiPriority w:val="0"/>
    <w:pPr>
      <w:spacing w:after="120"/>
    </w:pPr>
  </w:style>
  <w:style w:type="paragraph" w:styleId="6">
    <w:name w:val="Body Text Indent"/>
    <w:basedOn w:val="1"/>
    <w:next w:val="7"/>
    <w:unhideWhenUsed/>
    <w:qFormat/>
    <w:uiPriority w:val="99"/>
    <w:pPr>
      <w:spacing w:after="120"/>
      <w:ind w:left="420" w:leftChars="200"/>
    </w:pPr>
  </w:style>
  <w:style w:type="paragraph" w:styleId="7">
    <w:name w:val="footer"/>
    <w:basedOn w:val="1"/>
    <w:next w:val="6"/>
    <w:link w:val="20"/>
    <w:qFormat/>
    <w:uiPriority w:val="0"/>
    <w:pPr>
      <w:tabs>
        <w:tab w:val="center" w:pos="4153"/>
        <w:tab w:val="right" w:pos="8306"/>
      </w:tabs>
      <w:snapToGrid w:val="0"/>
      <w:jc w:val="left"/>
    </w:pPr>
    <w:rPr>
      <w:sz w:val="18"/>
      <w:szCs w:val="18"/>
    </w:rPr>
  </w:style>
  <w:style w:type="paragraph" w:styleId="8">
    <w:name w:val="Body Text Indent 2"/>
    <w:basedOn w:val="1"/>
    <w:next w:val="1"/>
    <w:qFormat/>
    <w:uiPriority w:val="0"/>
    <w:pPr>
      <w:spacing w:line="590" w:lineRule="exact"/>
      <w:ind w:firstLine="880" w:firstLineChars="200"/>
    </w:pPr>
    <w:rPr>
      <w:rFonts w:eastAsia="方正仿宋_GBK"/>
      <w:sz w:val="32"/>
    </w:rPr>
  </w:style>
  <w:style w:type="paragraph" w:styleId="9">
    <w:name w:val="Balloon Text"/>
    <w:basedOn w:val="1"/>
    <w:link w:val="19"/>
    <w:qFormat/>
    <w:uiPriority w:val="0"/>
    <w:rPr>
      <w:sz w:val="18"/>
      <w:szCs w:val="18"/>
    </w:rPr>
  </w:style>
  <w:style w:type="paragraph" w:styleId="10">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1">
    <w:name w:val="Subtitle"/>
    <w:next w:val="1"/>
    <w:qFormat/>
    <w:uiPriority w:val="11"/>
    <w:pPr>
      <w:spacing w:beforeLines="100"/>
      <w:jc w:val="both"/>
    </w:pPr>
    <w:rPr>
      <w:rFonts w:ascii="方正仿宋_GBK" w:hAnsi="仿宋_GB2312" w:eastAsia="方正仿宋_GBK" w:cs="仿宋_GB2312"/>
      <w:bCs/>
      <w:kern w:val="28"/>
      <w:sz w:val="32"/>
      <w:szCs w:val="32"/>
      <w:lang w:val="en-US" w:eastAsia="zh-CN" w:bidi="ar-SA"/>
    </w:r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qFormat/>
    <w:uiPriority w:val="0"/>
    <w:pPr>
      <w:spacing w:beforeAutospacing="1" w:afterAutospacing="1"/>
      <w:jc w:val="left"/>
    </w:pPr>
    <w:rPr>
      <w:rFonts w:ascii="Calibri" w:hAnsi="Calibri" w:eastAsia="宋体"/>
      <w:kern w:val="0"/>
      <w:sz w:val="24"/>
    </w:rPr>
  </w:style>
  <w:style w:type="paragraph" w:styleId="14">
    <w:name w:val="Title"/>
    <w:next w:val="11"/>
    <w:qFormat/>
    <w:uiPriority w:val="10"/>
    <w:pPr>
      <w:spacing w:beforeLines="100" w:line="560" w:lineRule="exact"/>
      <w:jc w:val="center"/>
      <w:outlineLvl w:val="0"/>
    </w:pPr>
    <w:rPr>
      <w:rFonts w:ascii="方正小标宋简体" w:hAnsi="方正小标宋简体" w:eastAsia="方正小标宋_GBK" w:cs="方正小标宋简体"/>
      <w:bCs/>
      <w:kern w:val="2"/>
      <w:sz w:val="44"/>
      <w:szCs w:val="32"/>
      <w:lang w:val="en-US" w:eastAsia="zh-CN" w:bidi="ar-SA"/>
    </w:rPr>
  </w:style>
  <w:style w:type="character" w:styleId="17">
    <w:name w:val="Strong"/>
    <w:qFormat/>
    <w:uiPriority w:val="0"/>
    <w:rPr>
      <w:rFonts w:ascii="Times New Roman" w:hAnsi="Times New Roman" w:eastAsia="宋体" w:cs="Times New Roman"/>
      <w:b/>
    </w:rPr>
  </w:style>
  <w:style w:type="character" w:customStyle="1" w:styleId="18">
    <w:name w:val="标题 1 Char"/>
    <w:link w:val="2"/>
    <w:qFormat/>
    <w:uiPriority w:val="0"/>
    <w:rPr>
      <w:rFonts w:ascii="宋体" w:hAnsi="宋体"/>
      <w:kern w:val="44"/>
      <w:sz w:val="30"/>
      <w:szCs w:val="30"/>
    </w:rPr>
  </w:style>
  <w:style w:type="character" w:customStyle="1" w:styleId="19">
    <w:name w:val="批注框文本 Char"/>
    <w:link w:val="9"/>
    <w:qFormat/>
    <w:uiPriority w:val="0"/>
    <w:rPr>
      <w:rFonts w:ascii="Times New Roman" w:hAnsi="Times New Roman" w:eastAsia="宋体" w:cs="Times New Roman"/>
      <w:kern w:val="2"/>
      <w:sz w:val="18"/>
      <w:szCs w:val="18"/>
    </w:rPr>
  </w:style>
  <w:style w:type="character" w:customStyle="1" w:styleId="20">
    <w:name w:val="页脚 Char"/>
    <w:link w:val="7"/>
    <w:qFormat/>
    <w:uiPriority w:val="0"/>
    <w:rPr>
      <w:kern w:val="2"/>
      <w:sz w:val="18"/>
      <w:szCs w:val="18"/>
    </w:rPr>
  </w:style>
  <w:style w:type="character" w:customStyle="1" w:styleId="21">
    <w:name w:val="页眉 Char"/>
    <w:link w:val="10"/>
    <w:qFormat/>
    <w:uiPriority w:val="0"/>
    <w:rPr>
      <w:kern w:val="2"/>
      <w:sz w:val="18"/>
      <w:szCs w:val="18"/>
    </w:rPr>
  </w:style>
  <w:style w:type="paragraph" w:customStyle="1" w:styleId="22">
    <w:name w:val="正文_0"/>
    <w:qFormat/>
    <w:uiPriority w:val="99"/>
    <w:pPr>
      <w:widowControl w:val="0"/>
      <w:jc w:val="both"/>
    </w:pPr>
    <w:rPr>
      <w:rFonts w:ascii="Times New Roman" w:hAnsi="Times New Roman" w:eastAsia="宋体" w:cs="Times New Roman"/>
      <w:kern w:val="2"/>
      <w:sz w:val="21"/>
      <w:szCs w:val="21"/>
      <w:lang w:val="en-US" w:eastAsia="zh-CN" w:bidi="ar-SA"/>
    </w:rPr>
  </w:style>
  <w:style w:type="character" w:customStyle="1" w:styleId="23">
    <w:name w:val="不明显强调1"/>
    <w:qFormat/>
    <w:uiPriority w:val="19"/>
    <w:rPr>
      <w:i/>
      <w:iCs/>
      <w:color w:val="7E7E7E"/>
    </w:rPr>
  </w:style>
  <w:style w:type="paragraph" w:customStyle="1" w:styleId="24">
    <w:name w:val="Heading3"/>
    <w:basedOn w:val="1"/>
    <w:next w:val="1"/>
    <w:qFormat/>
    <w:uiPriority w:val="99"/>
    <w:pPr>
      <w:keepNext/>
      <w:keepLines/>
      <w:spacing w:line="560" w:lineRule="exact"/>
      <w:textAlignment w:val="baseline"/>
    </w:pPr>
    <w:rPr>
      <w:rFonts w:ascii="Calibri" w:hAnsi="Calibri" w:cs="Calibri"/>
      <w:b/>
      <w:bCs/>
    </w:rPr>
  </w:style>
  <w:style w:type="paragraph" w:customStyle="1" w:styleId="25">
    <w:name w:val="_Style 2"/>
    <w:basedOn w:val="1"/>
    <w:qFormat/>
    <w:uiPriority w:val="0"/>
    <w:pPr>
      <w:spacing w:line="351" w:lineRule="atLeast"/>
      <w:ind w:firstLine="623"/>
      <w:textAlignment w:val="baseline"/>
    </w:pPr>
    <w:rPr>
      <w:color w:val="000000"/>
      <w:sz w:val="31"/>
      <w:szCs w:val="20"/>
    </w:rPr>
  </w:style>
  <w:style w:type="paragraph" w:customStyle="1" w:styleId="26">
    <w:name w:val="正文缩进1"/>
    <w:basedOn w:val="1"/>
    <w:qFormat/>
    <w:uiPriority w:val="0"/>
    <w:pPr>
      <w:ind w:firstLine="420" w:firstLineChars="200"/>
    </w:pPr>
  </w:style>
  <w:style w:type="paragraph" w:customStyle="1" w:styleId="27">
    <w:name w:val="样式 行距: 1.5 倍行距"/>
    <w:basedOn w:val="1"/>
    <w:qFormat/>
    <w:uiPriority w:val="0"/>
    <w:pPr>
      <w:spacing w:line="360" w:lineRule="auto"/>
      <w:ind w:left="851" w:hanging="431"/>
    </w:pPr>
    <w:rPr>
      <w:rFonts w:cs="宋体"/>
      <w:sz w:val="28"/>
      <w:szCs w:val="20"/>
    </w:rPr>
  </w:style>
  <w:style w:type="paragraph" w:customStyle="1" w:styleId="2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9">
    <w:name w:val="正文1"/>
    <w:next w:val="25"/>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1"/>
      <w:szCs w:val="22"/>
      <w:lang w:val="en-US" w:eastAsia="zh-CN" w:bidi="ar-SA"/>
    </w:rPr>
  </w:style>
  <w:style w:type="paragraph" w:styleId="30">
    <w:name w:val="List Paragraph"/>
    <w:basedOn w:val="1"/>
    <w:qFormat/>
    <w:uiPriority w:val="99"/>
    <w:pPr>
      <w:ind w:firstLine="420" w:firstLineChars="200"/>
    </w:pPr>
  </w:style>
  <w:style w:type="paragraph" w:customStyle="1" w:styleId="31">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5</Pages>
  <Words>2116</Words>
  <Characters>2137</Characters>
  <Lines>18</Lines>
  <Paragraphs>5</Paragraphs>
  <TotalTime>1</TotalTime>
  <ScaleCrop>false</ScaleCrop>
  <LinksUpToDate>false</LinksUpToDate>
  <CharactersWithSpaces>2162</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2021-12-20T08:39:00Z</dcterms:created>
  <dc:creator>李果</dc:creator>
  <cp:lastModifiedBy>cj</cp:lastModifiedBy>
  <cp:lastPrinted>2023-09-07T10:22:00Z</cp:lastPrinted>
  <dcterms:modified xsi:type="dcterms:W3CDTF">2026-03-23T15:59:35Z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2CF3D0FD1D5A4E9580CE4117EBF6655F_13</vt:lpwstr>
  </property>
</Properties>
</file>